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533" w:rsidRDefault="000C7533" w:rsidP="000C7533">
      <w:pPr>
        <w:pStyle w:val="Heading1"/>
        <w:rPr>
          <w:sz w:val="24"/>
          <w:szCs w:val="24"/>
        </w:rPr>
      </w:pPr>
      <w:r>
        <w:t>Bioregion and subregion boundaries</w:t>
      </w:r>
      <w:r>
        <w:rPr>
          <w:sz w:val="24"/>
          <w:szCs w:val="24"/>
        </w:rPr>
        <w:t xml:space="preserve"> </w:t>
      </w:r>
    </w:p>
    <w:p w:rsidR="000C7533" w:rsidRDefault="000C7533" w:rsidP="000C7533">
      <w:pPr>
        <w:pStyle w:val="Heading2"/>
        <w:rPr>
          <w:sz w:val="24"/>
          <w:szCs w:val="24"/>
        </w:rPr>
      </w:pPr>
      <w:r>
        <w:rPr>
          <w:sz w:val="24"/>
          <w:szCs w:val="24"/>
        </w:rPr>
        <w:t xml:space="preserve">Attachment A: </w:t>
      </w:r>
      <w:r>
        <w:t>Description of proposed changes to the</w:t>
      </w:r>
      <w:r w:rsidR="006B3A78">
        <w:t xml:space="preserve"> boundaries of the</w:t>
      </w:r>
      <w:r>
        <w:t xml:space="preserve"> bioregions</w:t>
      </w:r>
    </w:p>
    <w:p w:rsidR="000C7533" w:rsidRDefault="000C7533" w:rsidP="000C7533">
      <w:pPr>
        <w:spacing w:after="120"/>
      </w:pPr>
      <w:r>
        <w:t xml:space="preserve">The proposed changes to the </w:t>
      </w:r>
      <w:r w:rsidR="006B3A78">
        <w:t xml:space="preserve">boundaries of the </w:t>
      </w:r>
      <w:r>
        <w:t xml:space="preserve">bioregions do not alter the overall footprint of the priority bioregions. All the changes described below have been approved by the OWS </w:t>
      </w:r>
      <w:r w:rsidR="00044CDE">
        <w:t xml:space="preserve">Senior </w:t>
      </w:r>
      <w:r>
        <w:t>Science Advisor</w:t>
      </w:r>
      <w:r w:rsidR="00044CDE">
        <w:t xml:space="preserve"> (Peter Baker)</w:t>
      </w:r>
      <w:r>
        <w:t>.</w:t>
      </w:r>
    </w:p>
    <w:p w:rsidR="000C7533" w:rsidRDefault="000C7533" w:rsidP="000C7533">
      <w:pPr>
        <w:spacing w:after="120"/>
      </w:pPr>
      <w:r>
        <w:t>Existing catchment management authority and natural resource management area boundaries provide the primary guidance for the placement of subregion boundaries.</w:t>
      </w:r>
    </w:p>
    <w:p w:rsidR="000C7533" w:rsidRDefault="000C7533" w:rsidP="000C7533">
      <w:pPr>
        <w:spacing w:after="120"/>
      </w:pPr>
      <w:r>
        <w:t>The Bureau Geofabric dataset provides the primary guidance for boundaries along the coast.</w:t>
      </w:r>
    </w:p>
    <w:p w:rsidR="000C7533" w:rsidRDefault="000C7533" w:rsidP="000C7533">
      <w:pPr>
        <w:spacing w:after="120"/>
      </w:pPr>
      <w:r>
        <w:t>Proposed are:</w:t>
      </w:r>
    </w:p>
    <w:p w:rsidR="000C7533" w:rsidRDefault="000C7533" w:rsidP="000C7533">
      <w:pPr>
        <w:pStyle w:val="ListParagraph"/>
        <w:numPr>
          <w:ilvl w:val="0"/>
          <w:numId w:val="2"/>
        </w:numPr>
        <w:spacing w:after="0" w:line="240" w:lineRule="auto"/>
      </w:pPr>
      <w:r>
        <w:t>Some Sydney Basin elements that were originally included in the Northern Inland Catchments bioregion will be ceded to Northern Sydney Basin bioregion.</w:t>
      </w:r>
    </w:p>
    <w:p w:rsidR="000C7533" w:rsidRDefault="000C7533" w:rsidP="000C7533">
      <w:pPr>
        <w:pStyle w:val="ListParagraph"/>
        <w:numPr>
          <w:ilvl w:val="0"/>
          <w:numId w:val="2"/>
        </w:numPr>
        <w:spacing w:after="0" w:line="240" w:lineRule="auto"/>
      </w:pPr>
      <w:r>
        <w:t>A northern sliver of the Clarence-Moreton bioregion that adjoins the Northern Inland Catchments bioregion, and is geologically more similar to the Northern Inland Catchments bioregion than the Clarence-Moreton bioregion, will be ceded to the Northern Inland Catchments bioregion.</w:t>
      </w:r>
    </w:p>
    <w:p w:rsidR="000C7533" w:rsidRDefault="000C7533" w:rsidP="000C7533">
      <w:pPr>
        <w:pStyle w:val="ListParagraph"/>
        <w:numPr>
          <w:ilvl w:val="0"/>
          <w:numId w:val="2"/>
        </w:numPr>
        <w:spacing w:after="0" w:line="240" w:lineRule="auto"/>
      </w:pPr>
      <w:r>
        <w:t>The Maranoa-Balonne and Condamine areas are combined into a single subregion because it will probably be difficult to report on the Condamine area separately, since the CSG fields underlie and impact on both.</w:t>
      </w:r>
    </w:p>
    <w:p w:rsidR="000C7533" w:rsidRDefault="000C7533" w:rsidP="000C7533">
      <w:pPr>
        <w:pStyle w:val="ListParagraph"/>
        <w:numPr>
          <w:ilvl w:val="0"/>
          <w:numId w:val="2"/>
        </w:numPr>
        <w:spacing w:after="0" w:line="240" w:lineRule="auto"/>
      </w:pPr>
      <w:r>
        <w:t>The Clarence and Moreton are considered together because it will probably be difficult to report on the two areas separately because the CSG resource underlies and will impact on both.</w:t>
      </w:r>
    </w:p>
    <w:p w:rsidR="00E84CEF" w:rsidRDefault="00E84CEF" w:rsidP="000C7533">
      <w:pPr>
        <w:pStyle w:val="ListParagraph"/>
        <w:numPr>
          <w:ilvl w:val="0"/>
          <w:numId w:val="2"/>
        </w:numPr>
        <w:spacing w:after="0" w:line="240" w:lineRule="auto"/>
      </w:pPr>
      <w:r>
        <w:t xml:space="preserve">The Galilee Basin data collection area, which is indicated by the cerise dashed line in the </w:t>
      </w:r>
      <w:r w:rsidR="006B3A78">
        <w:t xml:space="preserve">map of the </w:t>
      </w:r>
      <w:r>
        <w:t xml:space="preserve">original </w:t>
      </w:r>
      <w:r w:rsidR="006B3A78">
        <w:t xml:space="preserve">boundaries of the </w:t>
      </w:r>
      <w:r>
        <w:t>bioregions</w:t>
      </w:r>
      <w:r w:rsidR="00CC1109">
        <w:t xml:space="preserve"> (</w:t>
      </w:r>
      <w:r>
        <w:t>below</w:t>
      </w:r>
      <w:r w:rsidR="00CC1109">
        <w:t>)</w:t>
      </w:r>
      <w:r>
        <w:t>, is now included in the Lake Eyre Basin bioregion because the eastern part of the Galilee Basin is the most prospective for coal mining, and the parts on the western side of the Great Dividing Range</w:t>
      </w:r>
      <w:r w:rsidR="00CC1109">
        <w:t xml:space="preserve">, including those north of the Lake Eyre </w:t>
      </w:r>
      <w:r w:rsidR="00CC1109">
        <w:t>drainage</w:t>
      </w:r>
      <w:r w:rsidR="00CC1109">
        <w:t xml:space="preserve"> basin,</w:t>
      </w:r>
      <w:r>
        <w:t xml:space="preserve"> are prospective for both coal seam gas and coal mining.</w:t>
      </w:r>
    </w:p>
    <w:p w:rsidR="000C7533" w:rsidRDefault="000C7533" w:rsidP="000C7533">
      <w:pPr>
        <w:spacing w:after="120"/>
      </w:pPr>
    </w:p>
    <w:p w:rsidR="00E84CEF" w:rsidRDefault="00E84CEF" w:rsidP="000C7533">
      <w:pPr>
        <w:spacing w:after="120"/>
      </w:pPr>
    </w:p>
    <w:p w:rsidR="00E84CEF" w:rsidRDefault="00E84CEF" w:rsidP="000C7533">
      <w:pPr>
        <w:spacing w:after="120"/>
      </w:pPr>
    </w:p>
    <w:p w:rsidR="00E84CEF" w:rsidRDefault="00E84CEF" w:rsidP="000C7533">
      <w:pPr>
        <w:spacing w:after="120"/>
      </w:pPr>
    </w:p>
    <w:p w:rsidR="00E84CEF" w:rsidRDefault="00E84CEF" w:rsidP="000C7533">
      <w:pPr>
        <w:spacing w:after="120"/>
      </w:pPr>
    </w:p>
    <w:p w:rsidR="00E84CEF" w:rsidRDefault="00E84CEF" w:rsidP="000C7533">
      <w:pPr>
        <w:spacing w:after="120"/>
      </w:pPr>
    </w:p>
    <w:p w:rsidR="00E84CEF" w:rsidRDefault="00E84CEF" w:rsidP="000C7533">
      <w:pPr>
        <w:spacing w:after="120"/>
      </w:pPr>
    </w:p>
    <w:p w:rsidR="00E84CEF" w:rsidRDefault="00E84CEF" w:rsidP="000C7533">
      <w:pPr>
        <w:spacing w:after="120"/>
      </w:pPr>
    </w:p>
    <w:p w:rsidR="00E84CEF" w:rsidRDefault="00E84CEF" w:rsidP="000C7533">
      <w:pPr>
        <w:spacing w:after="120"/>
      </w:pPr>
    </w:p>
    <w:p w:rsidR="00E84CEF" w:rsidRDefault="00E84CEF" w:rsidP="000C7533">
      <w:pPr>
        <w:spacing w:after="120"/>
      </w:pPr>
    </w:p>
    <w:p w:rsidR="00E84CEF" w:rsidRDefault="00E84CEF" w:rsidP="000C7533">
      <w:pPr>
        <w:spacing w:after="120"/>
      </w:pPr>
    </w:p>
    <w:p w:rsidR="00E84CEF" w:rsidRDefault="00E84CEF" w:rsidP="000C7533">
      <w:pPr>
        <w:spacing w:after="120"/>
      </w:pPr>
    </w:p>
    <w:p w:rsidR="000C7533" w:rsidRDefault="000C7533" w:rsidP="000C7533">
      <w:pPr>
        <w:spacing w:after="120"/>
      </w:pPr>
      <w:r>
        <w:t xml:space="preserve">The following </w:t>
      </w:r>
      <w:r w:rsidR="006B3A78">
        <w:t xml:space="preserve">map shows the </w:t>
      </w:r>
      <w:r>
        <w:t xml:space="preserve">original </w:t>
      </w:r>
      <w:r w:rsidR="006B3A78">
        <w:t xml:space="preserve">boundaries of the </w:t>
      </w:r>
      <w:r>
        <w:t>bioregions:</w:t>
      </w:r>
    </w:p>
    <w:p w:rsidR="000C7533" w:rsidRDefault="000C7533">
      <w:r w:rsidRPr="000C7533">
        <w:rPr>
          <w:noProof/>
          <w:lang w:eastAsia="en-AU"/>
        </w:rPr>
        <w:drawing>
          <wp:inline distT="0" distB="0" distL="0" distR="0">
            <wp:extent cx="5730624" cy="5479851"/>
            <wp:effectExtent l="19050" t="0" r="3426"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51772" cy="5500074"/>
                    </a:xfrm>
                    <a:prstGeom prst="rect">
                      <a:avLst/>
                    </a:prstGeom>
                    <a:noFill/>
                    <a:ln w="9525">
                      <a:noFill/>
                      <a:miter lim="800000"/>
                      <a:headEnd/>
                      <a:tailEnd/>
                    </a:ln>
                  </pic:spPr>
                </pic:pic>
              </a:graphicData>
            </a:graphic>
          </wp:inline>
        </w:drawing>
      </w:r>
    </w:p>
    <w:p w:rsidR="000C7533" w:rsidRDefault="000C7533"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0C7533" w:rsidRDefault="005F6245" w:rsidP="000C7533">
      <w:pPr>
        <w:spacing w:after="120"/>
      </w:pPr>
      <w:r>
        <w:t>The following map show</w:t>
      </w:r>
      <w:r w:rsidR="000C7533">
        <w:t>s the proposed new bioregion</w:t>
      </w:r>
      <w:r>
        <w:t xml:space="preserve"> boundarie</w:t>
      </w:r>
      <w:r w:rsidR="000C7533">
        <w:t>s:</w:t>
      </w:r>
    </w:p>
    <w:p w:rsidR="000C7533" w:rsidRDefault="005F6245" w:rsidP="000C7533">
      <w:pPr>
        <w:spacing w:after="120"/>
      </w:pPr>
      <w:r>
        <w:rPr>
          <w:noProof/>
          <w:lang w:eastAsia="en-AU"/>
        </w:rPr>
        <w:drawing>
          <wp:inline distT="0" distB="0" distL="0" distR="0">
            <wp:extent cx="5731510" cy="6400165"/>
            <wp:effectExtent l="19050" t="0" r="2540" b="0"/>
            <wp:docPr id="5" name="Picture 4" descr="BioregionalAreas_a101_v1p4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regionalAreas_a101_v1p4p2.png"/>
                    <pic:cNvPicPr/>
                  </pic:nvPicPr>
                  <pic:blipFill>
                    <a:blip r:embed="rId6" cstate="print"/>
                    <a:stretch>
                      <a:fillRect/>
                    </a:stretch>
                  </pic:blipFill>
                  <pic:spPr>
                    <a:xfrm>
                      <a:off x="0" y="0"/>
                      <a:ext cx="5731510" cy="6400165"/>
                    </a:xfrm>
                    <a:prstGeom prst="rect">
                      <a:avLst/>
                    </a:prstGeom>
                  </pic:spPr>
                </pic:pic>
              </a:graphicData>
            </a:graphic>
          </wp:inline>
        </w:drawing>
      </w:r>
    </w:p>
    <w:p w:rsidR="000C7533" w:rsidRDefault="000C7533"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5F6245" w:rsidRDefault="005F6245" w:rsidP="000C7533">
      <w:pPr>
        <w:spacing w:after="120"/>
      </w:pPr>
    </w:p>
    <w:p w:rsidR="000C7533" w:rsidRDefault="000C7533" w:rsidP="000C7533">
      <w:pPr>
        <w:spacing w:after="120"/>
      </w:pPr>
      <w:r>
        <w:t>The following map shows the proposed subregions</w:t>
      </w:r>
      <w:r w:rsidR="00E24EC7">
        <w:t xml:space="preserve"> of the Northern Inland Catchments, Northern Sydney Basin and Southern Sydney Basin bioregions</w:t>
      </w:r>
      <w:r>
        <w:t>:</w:t>
      </w:r>
      <w:r>
        <w:br/>
      </w:r>
      <w:r w:rsidR="005F6245">
        <w:rPr>
          <w:noProof/>
          <w:lang w:eastAsia="en-AU"/>
        </w:rPr>
        <w:drawing>
          <wp:inline distT="0" distB="0" distL="0" distR="0">
            <wp:extent cx="5731510" cy="6400165"/>
            <wp:effectExtent l="19050" t="0" r="2540" b="0"/>
            <wp:docPr id="6" name="Picture 5" descr="BioregionalAreas_a101_v1p4p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regionalAreas_a101_v1p4p3.png"/>
                    <pic:cNvPicPr/>
                  </pic:nvPicPr>
                  <pic:blipFill>
                    <a:blip r:embed="rId7" cstate="print"/>
                    <a:stretch>
                      <a:fillRect/>
                    </a:stretch>
                  </pic:blipFill>
                  <pic:spPr>
                    <a:xfrm>
                      <a:off x="0" y="0"/>
                      <a:ext cx="5731510" cy="6400165"/>
                    </a:xfrm>
                    <a:prstGeom prst="rect">
                      <a:avLst/>
                    </a:prstGeom>
                  </pic:spPr>
                </pic:pic>
              </a:graphicData>
            </a:graphic>
          </wp:inline>
        </w:drawing>
      </w:r>
    </w:p>
    <w:p w:rsidR="000C7533" w:rsidRDefault="000C7533" w:rsidP="000C7533">
      <w:pPr>
        <w:spacing w:after="120"/>
      </w:pPr>
    </w:p>
    <w:p w:rsidR="000C7533" w:rsidRDefault="000C7533" w:rsidP="000C7533">
      <w:pPr>
        <w:spacing w:after="120"/>
      </w:pPr>
    </w:p>
    <w:sectPr w:rsidR="000C7533" w:rsidSect="00D64E8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8052F"/>
    <w:multiLevelType w:val="multilevel"/>
    <w:tmpl w:val="473EA67C"/>
    <w:lvl w:ilvl="0">
      <w:start w:val="1"/>
      <w:numFmt w:val="decimal"/>
      <w:pStyle w:val="ListParagraph"/>
      <w:lvlText w:val="%1."/>
      <w:lvlJc w:val="left"/>
      <w:pPr>
        <w:ind w:left="369" w:hanging="369"/>
      </w:pPr>
      <w:rPr>
        <w:rFonts w:hint="default"/>
      </w:rPr>
    </w:lvl>
    <w:lvl w:ilvl="1">
      <w:start w:val="1"/>
      <w:numFmt w:val="none"/>
      <w:lvlText w:val="-"/>
      <w:lvlJc w:val="left"/>
      <w:pPr>
        <w:ind w:left="737" w:hanging="368"/>
      </w:pPr>
      <w:rPr>
        <w:rFonts w:hint="default"/>
      </w:rPr>
    </w:lvl>
    <w:lvl w:ilvl="2">
      <w:start w:val="1"/>
      <w:numFmt w:val="none"/>
      <w:lvlText w:val=":"/>
      <w:lvlJc w:val="left"/>
      <w:pPr>
        <w:ind w:left="1106" w:hanging="369"/>
      </w:pPr>
      <w:rPr>
        <w:rFonts w:hint="default"/>
      </w:rPr>
    </w:lvl>
    <w:lvl w:ilvl="3">
      <w:start w:val="1"/>
      <w:numFmt w:val="none"/>
      <w:lvlText w:val=""/>
      <w:lvlJc w:val="left"/>
      <w:pPr>
        <w:ind w:left="1474" w:hanging="368"/>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5B88478F"/>
    <w:multiLevelType w:val="hybridMultilevel"/>
    <w:tmpl w:val="A7F037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7533"/>
    <w:rsid w:val="00044CDE"/>
    <w:rsid w:val="00060989"/>
    <w:rsid w:val="000C7533"/>
    <w:rsid w:val="002054BE"/>
    <w:rsid w:val="002931D1"/>
    <w:rsid w:val="003225DF"/>
    <w:rsid w:val="00372699"/>
    <w:rsid w:val="00426A74"/>
    <w:rsid w:val="004567AB"/>
    <w:rsid w:val="004F58AD"/>
    <w:rsid w:val="005439D6"/>
    <w:rsid w:val="005F6245"/>
    <w:rsid w:val="006B3A78"/>
    <w:rsid w:val="007A28E9"/>
    <w:rsid w:val="007C1509"/>
    <w:rsid w:val="00902462"/>
    <w:rsid w:val="00A06FFE"/>
    <w:rsid w:val="00AE5F56"/>
    <w:rsid w:val="00C933BF"/>
    <w:rsid w:val="00CC1109"/>
    <w:rsid w:val="00D039C0"/>
    <w:rsid w:val="00D459AC"/>
    <w:rsid w:val="00D64E8C"/>
    <w:rsid w:val="00D65B27"/>
    <w:rsid w:val="00D92296"/>
    <w:rsid w:val="00E24EC7"/>
    <w:rsid w:val="00E84CEF"/>
    <w:rsid w:val="00E962F2"/>
    <w:rsid w:val="00EE6748"/>
    <w:rsid w:val="00F04B3E"/>
    <w:rsid w:val="00F36CBB"/>
    <w:rsid w:val="00F5090B"/>
    <w:rsid w:val="00F9745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7533"/>
    <w:rPr>
      <w:rFonts w:ascii="Arial" w:eastAsia="Calibri" w:hAnsi="Arial" w:cs="Times New Roman"/>
    </w:rPr>
  </w:style>
  <w:style w:type="paragraph" w:styleId="Heading1">
    <w:name w:val="heading 1"/>
    <w:basedOn w:val="Normal"/>
    <w:next w:val="Normal"/>
    <w:link w:val="Heading1Char"/>
    <w:uiPriority w:val="9"/>
    <w:qFormat/>
    <w:rsid w:val="000C7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C75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75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C7533"/>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C7533"/>
    <w:pPr>
      <w:numPr>
        <w:numId w:val="1"/>
      </w:numPr>
    </w:pPr>
  </w:style>
  <w:style w:type="paragraph" w:styleId="BalloonText">
    <w:name w:val="Balloon Text"/>
    <w:basedOn w:val="Normal"/>
    <w:link w:val="BalloonTextChar"/>
    <w:uiPriority w:val="99"/>
    <w:semiHidden/>
    <w:unhideWhenUsed/>
    <w:rsid w:val="000C7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533"/>
    <w:rPr>
      <w:rFonts w:ascii="Tahoma" w:eastAsia="Calibri" w:hAnsi="Tahoma" w:cs="Tahoma"/>
      <w:sz w:val="16"/>
      <w:szCs w:val="16"/>
    </w:rPr>
  </w:style>
  <w:style w:type="paragraph" w:styleId="DocumentMap">
    <w:name w:val="Document Map"/>
    <w:basedOn w:val="Normal"/>
    <w:link w:val="DocumentMapChar"/>
    <w:uiPriority w:val="99"/>
    <w:semiHidden/>
    <w:unhideWhenUsed/>
    <w:rsid w:val="00E84CE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4CE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043EF5C4F37C41B1B1A72921637268" ma:contentTypeVersion="1" ma:contentTypeDescription="Create a new document." ma:contentTypeScope="" ma:versionID="412d709ee43b920967ed8ab11d789988">
  <xsd:schema xmlns:xsd="http://www.w3.org/2001/XMLSchema" xmlns:xs="http://www.w3.org/2001/XMLSchema" xmlns:p="http://schemas.microsoft.com/office/2006/metadata/properties" xmlns:ns2="d32f9519-471c-43f8-9988-bca51347c607" targetNamespace="http://schemas.microsoft.com/office/2006/metadata/properties" ma:root="true" ma:fieldsID="2409559ec52f52cdd5f5ad88749d2538" ns2:_="">
    <xsd:import namespace="d32f9519-471c-43f8-9988-bca51347c607"/>
    <xsd:element name="properties">
      <xsd:complexType>
        <xsd:sequence>
          <xsd:element name="documentManagement">
            <xsd:complexType>
              <xsd:all>
                <xsd:element ref="ns2:Notes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2f9519-471c-43f8-9988-bca51347c607" elementFormDefault="qualified">
    <xsd:import namespace="http://schemas.microsoft.com/office/2006/documentManagement/types"/>
    <xsd:import namespace="http://schemas.microsoft.com/office/infopath/2007/PartnerControls"/>
    <xsd:element name="Notes0" ma:index="8" nillable="true" ma:displayName="Notes" ma:internalName="Notes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0 xmlns="d32f9519-471c-43f8-9988-bca51347c607">Prepared for Board</Notes0>
  </documentManagement>
</p:properties>
</file>

<file path=customXml/itemProps1.xml><?xml version="1.0" encoding="utf-8"?>
<ds:datastoreItem xmlns:ds="http://schemas.openxmlformats.org/officeDocument/2006/customXml" ds:itemID="{1C55298A-4386-47D0-BDFD-C87E2A17F5E7}"/>
</file>

<file path=customXml/itemProps2.xml><?xml version="1.0" encoding="utf-8"?>
<ds:datastoreItem xmlns:ds="http://schemas.openxmlformats.org/officeDocument/2006/customXml" ds:itemID="{88C23A99-67C3-42F9-AEFF-8ABC5EA8CD6E}"/>
</file>

<file path=customXml/itemProps3.xml><?xml version="1.0" encoding="utf-8"?>
<ds:datastoreItem xmlns:ds="http://schemas.openxmlformats.org/officeDocument/2006/customXml" ds:itemID="{3F95A473-23BE-40AE-8A6B-7982CA31824D}"/>
</file>

<file path=docProps/app.xml><?xml version="1.0" encoding="utf-8"?>
<Properties xmlns="http://schemas.openxmlformats.org/officeDocument/2006/extended-properties" xmlns:vt="http://schemas.openxmlformats.org/officeDocument/2006/docPropsVTypes">
  <Template>Normal.dotm</Template>
  <TotalTime>60</TotalTime>
  <Pages>4</Pages>
  <Words>330</Words>
  <Characters>1870</Characters>
  <Application>Microsoft Office Word</Application>
  <DocSecurity>0</DocSecurity>
  <Lines>39</Lines>
  <Paragraphs>24</Paragraphs>
  <ScaleCrop>false</ScaleCrop>
  <Company>CSIRO</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Welsh, Wendy (CLW, Black Mountain)</dc:creator>
  <cp:keywords/>
  <dc:description/>
  <cp:lastModifiedBy>Welsh, Wendy (CLW, Black Mountain)</cp:lastModifiedBy>
  <cp:revision>9</cp:revision>
  <dcterms:created xsi:type="dcterms:W3CDTF">2013-07-29T22:09:00Z</dcterms:created>
  <dcterms:modified xsi:type="dcterms:W3CDTF">2013-08-05T05:27:00Z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0x01010063043EF5C4F37C41B1B1A72921637268</vt:lpwstr>
  </property>
</Properties>
</file>