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Default="008C5950" w:rsidP="008C5950">
      <w:pPr>
        <w:spacing w:before="0" w:after="240"/>
      </w:pPr>
      <w:r>
        <w:rPr>
          <w:noProof/>
        </w:rPr>
        <w:drawing>
          <wp:inline distT="0" distB="0" distL="0" distR="0" wp14:anchorId="21C4285B" wp14:editId="7D4CE786">
            <wp:extent cx="6624000" cy="922047"/>
            <wp:effectExtent l="0" t="0" r="5715" b="0"/>
            <wp:docPr id="2" name="Picture 2" descr="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7D04" w:rsidRPr="00C0367B" w:rsidRDefault="00787D04" w:rsidP="00C0367B">
      <w:pPr>
        <w:pStyle w:val="Title"/>
        <w:spacing w:before="120" w:after="120"/>
        <w:rPr>
          <w:rFonts w:asciiTheme="majorHAnsi" w:hAnsiTheme="majorHAnsi"/>
        </w:rPr>
      </w:pPr>
      <w:r w:rsidRPr="004D0B56">
        <w:rPr>
          <w:rFonts w:asciiTheme="majorHAnsi" w:hAnsiTheme="majorHAnsi"/>
        </w:rPr>
        <w:t xml:space="preserve">Settlement </w:t>
      </w:r>
      <w:r w:rsidR="00F5682F">
        <w:rPr>
          <w:rFonts w:asciiTheme="majorHAnsi" w:hAnsiTheme="majorHAnsi"/>
        </w:rPr>
        <w:t>Reports</w:t>
      </w:r>
    </w:p>
    <w:p w:rsidR="00101415" w:rsidRPr="00C0367B" w:rsidRDefault="004A1C21" w:rsidP="00C0367B">
      <w:pPr>
        <w:pStyle w:val="Subtitle"/>
        <w:spacing w:before="120" w:after="120"/>
        <w:rPr>
          <w:sz w:val="36"/>
          <w:szCs w:val="36"/>
        </w:rPr>
      </w:pPr>
      <w:r w:rsidRPr="00101415">
        <w:rPr>
          <w:sz w:val="36"/>
          <w:szCs w:val="36"/>
        </w:rPr>
        <w:t xml:space="preserve">State of Residence </w:t>
      </w:r>
      <w:r w:rsidR="00787D04" w:rsidRPr="00101415">
        <w:rPr>
          <w:sz w:val="36"/>
          <w:szCs w:val="36"/>
        </w:rPr>
        <w:t>by Migration Stream</w:t>
      </w:r>
      <w:r w:rsidR="00787D04" w:rsidRPr="00101415">
        <w:rPr>
          <w:sz w:val="36"/>
          <w:szCs w:val="36"/>
        </w:rPr>
        <w:tab/>
      </w:r>
    </w:p>
    <w:p w:rsidR="004A1C21" w:rsidRDefault="00787D04" w:rsidP="004A1C21">
      <w:pPr>
        <w:spacing w:line="240" w:lineRule="auto"/>
        <w:rPr>
          <w:rFonts w:asciiTheme="majorHAnsi" w:hAnsiTheme="majorHAnsi"/>
        </w:rPr>
      </w:pPr>
      <w:r w:rsidRPr="004D0B56">
        <w:rPr>
          <w:rFonts w:asciiTheme="majorHAnsi" w:hAnsiTheme="majorHAnsi"/>
        </w:rPr>
        <w:t>This table covers the Settlement Date</w:t>
      </w:r>
      <w:r w:rsidR="004A1C21">
        <w:rPr>
          <w:rStyle w:val="FootnoteReference"/>
          <w:rFonts w:asciiTheme="majorHAnsi" w:hAnsiTheme="majorHAnsi"/>
        </w:rPr>
        <w:footnoteReference w:id="1"/>
      </w:r>
      <w:r w:rsidRPr="004D0B56">
        <w:rPr>
          <w:rFonts w:asciiTheme="majorHAnsi" w:hAnsiTheme="majorHAnsi"/>
        </w:rPr>
        <w:t xml:space="preserve"> range from 1 July 2009 to 30 June 2014.</w:t>
      </w:r>
      <w:r w:rsidR="004A1C21" w:rsidRPr="004A1C21">
        <w:rPr>
          <w:rFonts w:asciiTheme="majorHAnsi" w:hAnsiTheme="majorHAnsi"/>
        </w:rPr>
        <w:t xml:space="preserve"> </w:t>
      </w:r>
    </w:p>
    <w:p w:rsidR="004A1C21" w:rsidRPr="00B46B83" w:rsidRDefault="004A1C21" w:rsidP="004A1C21">
      <w:pPr>
        <w:spacing w:line="240" w:lineRule="auto"/>
        <w:rPr>
          <w:rFonts w:asciiTheme="majorHAnsi" w:hAnsiTheme="majorHAnsi"/>
        </w:rPr>
      </w:pPr>
      <w:r w:rsidRPr="00B46B83">
        <w:rPr>
          <w:rFonts w:asciiTheme="majorHAnsi" w:hAnsiTheme="majorHAnsi"/>
        </w:rPr>
        <w:t>You should note and take into account the matters identified as caveats to this data (refer to separate page).</w:t>
      </w:r>
    </w:p>
    <w:p w:rsidR="00D14C26" w:rsidRPr="004D0B56" w:rsidRDefault="00D14C26" w:rsidP="004D0B56">
      <w:pPr>
        <w:spacing w:line="240" w:lineRule="auto"/>
        <w:rPr>
          <w:rFonts w:asciiTheme="majorHAnsi" w:hAnsiTheme="majorHAnsi"/>
        </w:rPr>
      </w:pPr>
    </w:p>
    <w:tbl>
      <w:tblPr>
        <w:tblW w:w="10461" w:type="dxa"/>
        <w:tblInd w:w="93" w:type="dxa"/>
        <w:tblLook w:val="04A0" w:firstRow="1" w:lastRow="0" w:firstColumn="1" w:lastColumn="0" w:noHBand="0" w:noVBand="1"/>
        <w:tblCaption w:val="State of Residence by Migration Stream"/>
        <w:tblDescription w:val="A table showing number of settlers by State of Residence by migration stream"/>
      </w:tblPr>
      <w:tblGrid>
        <w:gridCol w:w="2620"/>
        <w:gridCol w:w="940"/>
        <w:gridCol w:w="1633"/>
        <w:gridCol w:w="1868"/>
        <w:gridCol w:w="940"/>
        <w:gridCol w:w="1220"/>
        <w:gridCol w:w="1240"/>
      </w:tblGrid>
      <w:tr w:rsidR="007660A7" w:rsidRPr="007660A7" w:rsidTr="007660A7">
        <w:trPr>
          <w:trHeight w:val="315"/>
        </w:trPr>
        <w:tc>
          <w:tcPr>
            <w:tcW w:w="2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DCE6F1" w:fill="4BACC6"/>
            <w:noWrap/>
            <w:vAlign w:val="center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State of Residence</w:t>
            </w:r>
          </w:p>
        </w:tc>
        <w:tc>
          <w:tcPr>
            <w:tcW w:w="538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4BACC6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Migration Stream</w:t>
            </w:r>
          </w:p>
        </w:tc>
        <w:tc>
          <w:tcPr>
            <w:tcW w:w="1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DCE6F1" w:fill="4BACC6"/>
            <w:noWrap/>
            <w:vAlign w:val="center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Grand Total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4BACC6"/>
            <w:noWrap/>
            <w:vAlign w:val="center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% of Total</w:t>
            </w:r>
          </w:p>
        </w:tc>
      </w:tr>
      <w:tr w:rsidR="007660A7" w:rsidRPr="007660A7" w:rsidTr="007660A7">
        <w:trPr>
          <w:trHeight w:val="315"/>
        </w:trPr>
        <w:tc>
          <w:tcPr>
            <w:tcW w:w="2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60A7" w:rsidRPr="007660A7" w:rsidRDefault="007660A7" w:rsidP="007660A7">
            <w:pPr>
              <w:spacing w:before="0"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Family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Humanitarian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Other/unknown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4BACC6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Skilled</w:t>
            </w:r>
          </w:p>
        </w:tc>
        <w:tc>
          <w:tcPr>
            <w:tcW w:w="1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60A7" w:rsidRPr="007660A7" w:rsidRDefault="007660A7" w:rsidP="007660A7">
            <w:pPr>
              <w:spacing w:before="0"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60A7" w:rsidRPr="007660A7" w:rsidRDefault="007660A7" w:rsidP="007660A7">
            <w:pPr>
              <w:spacing w:before="0"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</w:tr>
      <w:tr w:rsidR="007660A7" w:rsidRPr="007660A7" w:rsidTr="007660A7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Australian Capital Territory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6,489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774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DA19BB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&lt;5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13,440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20,703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2%</w:t>
            </w:r>
          </w:p>
        </w:tc>
      </w:tr>
      <w:tr w:rsidR="007660A7" w:rsidRPr="007660A7" w:rsidTr="007660A7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External Territories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55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43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DA19BB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35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133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0%</w:t>
            </w:r>
          </w:p>
        </w:tc>
      </w:tr>
      <w:tr w:rsidR="007660A7" w:rsidRPr="007660A7" w:rsidTr="007660A7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New South Wales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142,473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23,556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DA19BB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127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193,561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359,717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31%</w:t>
            </w:r>
          </w:p>
        </w:tc>
      </w:tr>
      <w:tr w:rsidR="007660A7" w:rsidRPr="007660A7" w:rsidTr="007660A7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Northern Territory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3,890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476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DA19BB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8,925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13,297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1%</w:t>
            </w:r>
          </w:p>
        </w:tc>
      </w:tr>
      <w:tr w:rsidR="007660A7" w:rsidRPr="007660A7" w:rsidTr="007660A7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Not Recorded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301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DA19BB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4,423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4,739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0%</w:t>
            </w:r>
          </w:p>
        </w:tc>
      </w:tr>
      <w:tr w:rsidR="007660A7" w:rsidRPr="007660A7" w:rsidTr="007660A7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Queensland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55,036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10,157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DA19BB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100,219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165,418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14%</w:t>
            </w:r>
          </w:p>
        </w:tc>
      </w:tr>
      <w:tr w:rsidR="007660A7" w:rsidRPr="007660A7" w:rsidTr="007660A7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South Australia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18,674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7,887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DA19BB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53,819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80,392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7%</w:t>
            </w:r>
          </w:p>
        </w:tc>
      </w:tr>
      <w:tr w:rsidR="007660A7" w:rsidRPr="007660A7" w:rsidTr="007660A7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Tasmania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2,856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2,117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DA19BB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&lt;5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4,295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9,268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1%</w:t>
            </w:r>
          </w:p>
        </w:tc>
      </w:tr>
      <w:tr w:rsidR="007660A7" w:rsidRPr="007660A7" w:rsidTr="007660A7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rPr>
                <w:rFonts w:cs="Arial"/>
                <w:color w:val="000000"/>
                <w:szCs w:val="20"/>
              </w:rPr>
            </w:pPr>
            <w:bookmarkStart w:id="0" w:name="_GoBack" w:colFirst="5" w:colLast="5"/>
            <w:r w:rsidRPr="007660A7">
              <w:rPr>
                <w:rFonts w:cs="Arial"/>
                <w:color w:val="000000"/>
                <w:szCs w:val="20"/>
              </w:rPr>
              <w:t>Victoria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103,200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24,002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189,865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317,111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28%</w:t>
            </w:r>
          </w:p>
        </w:tc>
      </w:tr>
      <w:bookmarkEnd w:id="0"/>
      <w:tr w:rsidR="007660A7" w:rsidRPr="007660A7" w:rsidTr="007660A7">
        <w:trPr>
          <w:trHeight w:val="30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Western Australia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44,187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6,244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color w:val="000000"/>
                <w:szCs w:val="20"/>
              </w:rPr>
            </w:pPr>
            <w:r w:rsidRPr="007660A7">
              <w:rPr>
                <w:rFonts w:cs="Arial"/>
                <w:color w:val="000000"/>
                <w:szCs w:val="20"/>
              </w:rPr>
              <w:t>126,849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177,289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15%</w:t>
            </w:r>
          </w:p>
        </w:tc>
      </w:tr>
      <w:tr w:rsidR="007660A7" w:rsidRPr="007660A7" w:rsidTr="007660A7">
        <w:trPr>
          <w:trHeight w:val="31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Grand Total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377,161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75,271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204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695,431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1,148,067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660A7" w:rsidRPr="007660A7" w:rsidRDefault="007660A7" w:rsidP="007660A7">
            <w:pPr>
              <w:spacing w:before="0" w:after="0" w:line="240" w:lineRule="auto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7660A7">
              <w:rPr>
                <w:rFonts w:cs="Arial"/>
                <w:b/>
                <w:bCs/>
                <w:color w:val="000000"/>
                <w:szCs w:val="20"/>
              </w:rPr>
              <w:t>100%</w:t>
            </w:r>
          </w:p>
        </w:tc>
      </w:tr>
    </w:tbl>
    <w:p w:rsidR="004C1353" w:rsidRPr="004D0B56" w:rsidRDefault="004C1353" w:rsidP="004D0B56">
      <w:pPr>
        <w:spacing w:line="240" w:lineRule="auto"/>
        <w:rPr>
          <w:rFonts w:asciiTheme="majorHAnsi" w:hAnsiTheme="majorHAnsi"/>
        </w:rPr>
      </w:pPr>
    </w:p>
    <w:p w:rsidR="004C1353" w:rsidRPr="004D0B56" w:rsidRDefault="004C1353" w:rsidP="004D0B56">
      <w:pPr>
        <w:spacing w:line="240" w:lineRule="auto"/>
        <w:rPr>
          <w:rFonts w:asciiTheme="majorHAnsi" w:hAnsiTheme="majorHAnsi"/>
        </w:rPr>
      </w:pPr>
      <w:r w:rsidRPr="004D0B56">
        <w:rPr>
          <w:rFonts w:asciiTheme="majorHAnsi" w:hAnsiTheme="majorHAnsi"/>
        </w:rPr>
        <w:br w:type="page"/>
      </w:r>
      <w:r w:rsidRPr="004D0B56">
        <w:rPr>
          <w:rFonts w:asciiTheme="majorHAnsi" w:hAnsiTheme="majorHAnsi" w:cs="Arial"/>
          <w:b/>
          <w:szCs w:val="20"/>
        </w:rPr>
        <w:lastRenderedPageBreak/>
        <w:t>Caveats</w:t>
      </w:r>
    </w:p>
    <w:p w:rsidR="004C1353" w:rsidRPr="004D0B56" w:rsidRDefault="004C1353" w:rsidP="004D0B56">
      <w:pPr>
        <w:spacing w:line="240" w:lineRule="auto"/>
        <w:rPr>
          <w:rFonts w:asciiTheme="majorHAnsi" w:hAnsiTheme="majorHAnsi" w:cstheme="minorHAnsi"/>
          <w:szCs w:val="20"/>
        </w:rPr>
      </w:pPr>
      <w:r w:rsidRPr="004D0B56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4C1353" w:rsidRPr="004D0B56" w:rsidRDefault="004C1353" w:rsidP="004D0B56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4D0B56">
        <w:rPr>
          <w:rFonts w:asciiTheme="majorHAnsi" w:hAnsiTheme="majorHAnsi" w:cstheme="minorHAnsi"/>
          <w:b/>
          <w:szCs w:val="20"/>
        </w:rPr>
        <w:t>Data Capture</w:t>
      </w:r>
    </w:p>
    <w:p w:rsidR="004C1353" w:rsidRPr="004D0B56" w:rsidRDefault="004C1353" w:rsidP="004D0B56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4D0B56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4C1353" w:rsidRPr="004D0B56" w:rsidRDefault="004C1353" w:rsidP="004D0B56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4D0B56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4C1353" w:rsidRPr="004D0B56" w:rsidRDefault="004C1353" w:rsidP="004D0B56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4D0B56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4C1353" w:rsidRPr="004D0B56" w:rsidRDefault="004C1353" w:rsidP="004D0B56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4D0B56">
        <w:rPr>
          <w:rFonts w:asciiTheme="majorHAnsi" w:hAnsiTheme="majorHAnsi" w:cstheme="minorHAnsi"/>
          <w:b/>
          <w:szCs w:val="20"/>
        </w:rPr>
        <w:t>Data Limitations</w:t>
      </w:r>
    </w:p>
    <w:p w:rsidR="004C1353" w:rsidRPr="004D0B56" w:rsidRDefault="004C1353" w:rsidP="004D0B56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4D0B56">
        <w:rPr>
          <w:rFonts w:asciiTheme="majorHAnsi" w:hAnsiTheme="majorHAnsi" w:cstheme="minorHAnsi"/>
          <w:szCs w:val="20"/>
        </w:rPr>
        <w:t>SRF includes settlers who were:</w:t>
      </w:r>
    </w:p>
    <w:p w:rsidR="004C1353" w:rsidRPr="004D0B56" w:rsidRDefault="004C1353" w:rsidP="004D0B56">
      <w:pPr>
        <w:numPr>
          <w:ilvl w:val="1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4D0B56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4C1353" w:rsidRPr="004D0B56" w:rsidRDefault="004C1353" w:rsidP="004D0B56">
      <w:pPr>
        <w:numPr>
          <w:ilvl w:val="1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proofErr w:type="gramStart"/>
      <w:r w:rsidRPr="004D0B56">
        <w:rPr>
          <w:rFonts w:asciiTheme="majorHAnsi" w:hAnsiTheme="majorHAnsi" w:cstheme="minorHAnsi"/>
          <w:szCs w:val="20"/>
        </w:rPr>
        <w:t>who</w:t>
      </w:r>
      <w:proofErr w:type="gramEnd"/>
      <w:r w:rsidRPr="004D0B56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4C1353" w:rsidRPr="004D0B56" w:rsidRDefault="004C1353" w:rsidP="004D0B56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4D0B56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4C1353" w:rsidRPr="004D0B56" w:rsidRDefault="004C1353" w:rsidP="004D0B56">
      <w:pPr>
        <w:numPr>
          <w:ilvl w:val="0"/>
          <w:numId w:val="61"/>
        </w:numPr>
        <w:tabs>
          <w:tab w:val="left" w:pos="2195"/>
        </w:tabs>
        <w:spacing w:line="240" w:lineRule="auto"/>
        <w:rPr>
          <w:rFonts w:asciiTheme="majorHAnsi" w:hAnsiTheme="majorHAnsi" w:cstheme="minorHAnsi"/>
          <w:szCs w:val="20"/>
        </w:rPr>
      </w:pPr>
      <w:r w:rsidRPr="004D0B56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4C1353" w:rsidRPr="004D0B56" w:rsidRDefault="004C1353" w:rsidP="004D0B56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4D0B56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4C1353" w:rsidRPr="004D0B56" w:rsidRDefault="004C1353" w:rsidP="004D0B56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4D0B56">
        <w:rPr>
          <w:rFonts w:asciiTheme="majorHAnsi" w:hAnsiTheme="majorHAnsi" w:cstheme="minorHAnsi"/>
          <w:szCs w:val="20"/>
        </w:rPr>
        <w:t>SRF includes some duplicate settler records.</w:t>
      </w:r>
    </w:p>
    <w:p w:rsidR="004C1353" w:rsidRPr="004D0B56" w:rsidRDefault="004C1353" w:rsidP="004D0B56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4D0B56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4C1353" w:rsidRPr="004D0B56" w:rsidRDefault="004C1353" w:rsidP="004D0B56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4D0B56">
        <w:rPr>
          <w:rFonts w:asciiTheme="majorHAnsi" w:hAnsiTheme="majorHAnsi" w:cstheme="minorHAnsi"/>
          <w:szCs w:val="20"/>
        </w:rPr>
        <w:t xml:space="preserve">SRF includes only the settler’s </w:t>
      </w:r>
      <w:r w:rsidRPr="004D0B56">
        <w:rPr>
          <w:rFonts w:asciiTheme="majorHAnsi" w:hAnsiTheme="majorHAnsi" w:cstheme="minorHAnsi"/>
          <w:szCs w:val="20"/>
          <w:u w:val="single"/>
        </w:rPr>
        <w:t>latest</w:t>
      </w:r>
      <w:r w:rsidRPr="004D0B56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4C1353" w:rsidRPr="004D0B56" w:rsidRDefault="004C1353" w:rsidP="004D0B56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4D0B56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4C1353" w:rsidRPr="004D0B56" w:rsidRDefault="004C1353" w:rsidP="004D0B56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4D0B56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4C1353" w:rsidRPr="004D0B56" w:rsidRDefault="004C1353" w:rsidP="004D0B56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4D0B56">
        <w:rPr>
          <w:rFonts w:asciiTheme="majorHAnsi" w:hAnsiTheme="majorHAnsi" w:cstheme="minorHAnsi"/>
          <w:b/>
          <w:szCs w:val="20"/>
        </w:rPr>
        <w:t>Reporting Limitations</w:t>
      </w:r>
    </w:p>
    <w:p w:rsidR="004C1353" w:rsidRPr="004D0B56" w:rsidRDefault="004C1353" w:rsidP="004D0B56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4D0B56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4C1353" w:rsidRPr="004D0B56" w:rsidRDefault="004C1353" w:rsidP="004D0B56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4D0B56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4C1353" w:rsidRPr="004D0B56" w:rsidRDefault="004C1353" w:rsidP="004D0B56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4D0B56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4C1353" w:rsidRPr="004D0B56" w:rsidRDefault="004C1353" w:rsidP="004D0B56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4D0B56">
        <w:rPr>
          <w:rFonts w:asciiTheme="majorHAnsi" w:hAnsiTheme="majorHAnsi" w:cstheme="minorHAnsi"/>
          <w:szCs w:val="20"/>
        </w:rPr>
        <w:t xml:space="preserve">Reports including numbers of settlers of 5 or fewer have been suppressed (indicated by </w:t>
      </w:r>
      <w:r w:rsidR="008C61AB">
        <w:rPr>
          <w:rFonts w:asciiTheme="majorHAnsi" w:hAnsiTheme="majorHAnsi" w:cstheme="minorHAnsi"/>
          <w:szCs w:val="20"/>
        </w:rPr>
        <w:t>&lt;5</w:t>
      </w:r>
      <w:r w:rsidRPr="004D0B56">
        <w:rPr>
          <w:rFonts w:asciiTheme="majorHAnsi" w:hAnsiTheme="majorHAnsi" w:cstheme="minorHAnsi"/>
          <w:szCs w:val="20"/>
        </w:rPr>
        <w:t>) for client confidentiality.</w:t>
      </w:r>
    </w:p>
    <w:p w:rsidR="004C1353" w:rsidRPr="004D0B56" w:rsidRDefault="004C1353" w:rsidP="004D0B56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4D0B56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4C1353" w:rsidRPr="004D0B56" w:rsidRDefault="004C1353" w:rsidP="004D0B56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4D0B56">
        <w:rPr>
          <w:rFonts w:asciiTheme="majorHAnsi" w:hAnsiTheme="majorHAnsi" w:cstheme="minorHAnsi"/>
          <w:b/>
          <w:szCs w:val="20"/>
        </w:rPr>
        <w:t>Report Usage</w:t>
      </w:r>
    </w:p>
    <w:p w:rsidR="004C1353" w:rsidRPr="004D0B56" w:rsidRDefault="004C1353" w:rsidP="004D0B56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4D0B56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787D04" w:rsidRPr="004D0B56" w:rsidRDefault="004C1353" w:rsidP="004D0B56">
      <w:pPr>
        <w:spacing w:line="240" w:lineRule="auto"/>
        <w:jc w:val="right"/>
        <w:rPr>
          <w:rFonts w:asciiTheme="majorHAnsi" w:hAnsiTheme="majorHAnsi"/>
        </w:rPr>
      </w:pPr>
      <w:r w:rsidRPr="004D0B56">
        <w:rPr>
          <w:rFonts w:asciiTheme="majorHAnsi" w:hAnsiTheme="majorHAnsi" w:cs="Arial"/>
          <w:i/>
          <w:szCs w:val="20"/>
        </w:rPr>
        <w:t>Updated 6 January 2014</w:t>
      </w:r>
    </w:p>
    <w:sectPr w:rsidR="00787D04" w:rsidRPr="004D0B56" w:rsidSect="004A67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1416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D04" w:rsidRDefault="00787D04">
      <w:r>
        <w:separator/>
      </w:r>
    </w:p>
  </w:endnote>
  <w:endnote w:type="continuationSeparator" w:id="0">
    <w:p w:rsidR="00787D04" w:rsidRDefault="00787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215" w:rsidRDefault="00B60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A19BB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215" w:rsidRDefault="00B60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D04" w:rsidRDefault="00787D04">
      <w:r>
        <w:separator/>
      </w:r>
    </w:p>
  </w:footnote>
  <w:footnote w:type="continuationSeparator" w:id="0">
    <w:p w:rsidR="00787D04" w:rsidRDefault="00787D04">
      <w:r>
        <w:continuationSeparator/>
      </w:r>
    </w:p>
  </w:footnote>
  <w:footnote w:id="1">
    <w:p w:rsidR="004A1C21" w:rsidRDefault="004A1C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46B83">
        <w:rPr>
          <w:rFonts w:asciiTheme="majorHAnsi" w:hAnsiTheme="majorHAnsi"/>
        </w:rPr>
        <w:t xml:space="preserve">Settlement Date is 'date of visa grant' for settlers who were in Australia when their visa was </w:t>
      </w:r>
      <w:proofErr w:type="gramStart"/>
      <w:r w:rsidRPr="00B46B83">
        <w:rPr>
          <w:rFonts w:asciiTheme="majorHAnsi" w:hAnsiTheme="majorHAnsi"/>
        </w:rPr>
        <w:t>granted, and 'date of arrival in Australia'</w:t>
      </w:r>
      <w:proofErr w:type="gramEnd"/>
      <w:r w:rsidRPr="00B46B83">
        <w:rPr>
          <w:rFonts w:asciiTheme="majorHAnsi" w:hAnsiTheme="majorHAnsi"/>
        </w:rPr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215" w:rsidRDefault="00B60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Default="00101415">
    <w:pPr>
      <w:pStyle w:val="Header"/>
      <w:rPr>
        <w:noProof/>
      </w:rPr>
    </w:pPr>
    <w:r>
      <w:rPr>
        <w:noProof/>
      </w:rPr>
      <w:t xml:space="preserve">Settlement </w:t>
    </w:r>
    <w:r w:rsidR="00B60215">
      <w:rPr>
        <w:noProof/>
      </w:rPr>
      <w:t xml:space="preserve"> Reports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4F012E04" wp14:editId="7B4F1BE0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215" w:rsidRDefault="00B60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7"/>
  </w:num>
  <w:num w:numId="7">
    <w:abstractNumId w:val="44"/>
  </w:num>
  <w:num w:numId="8">
    <w:abstractNumId w:val="49"/>
  </w:num>
  <w:num w:numId="9">
    <w:abstractNumId w:val="8"/>
  </w:num>
  <w:num w:numId="10">
    <w:abstractNumId w:val="56"/>
  </w:num>
  <w:num w:numId="11">
    <w:abstractNumId w:val="17"/>
  </w:num>
  <w:num w:numId="12">
    <w:abstractNumId w:val="41"/>
  </w:num>
  <w:num w:numId="13">
    <w:abstractNumId w:val="51"/>
  </w:num>
  <w:num w:numId="14">
    <w:abstractNumId w:val="34"/>
  </w:num>
  <w:num w:numId="15">
    <w:abstractNumId w:val="4"/>
  </w:num>
  <w:num w:numId="16">
    <w:abstractNumId w:val="13"/>
  </w:num>
  <w:num w:numId="17">
    <w:abstractNumId w:val="55"/>
  </w:num>
  <w:num w:numId="18">
    <w:abstractNumId w:val="48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59"/>
  </w:num>
  <w:num w:numId="25">
    <w:abstractNumId w:val="33"/>
  </w:num>
  <w:num w:numId="26">
    <w:abstractNumId w:val="38"/>
  </w:num>
  <w:num w:numId="27">
    <w:abstractNumId w:val="20"/>
  </w:num>
  <w:num w:numId="28">
    <w:abstractNumId w:val="58"/>
  </w:num>
  <w:num w:numId="29">
    <w:abstractNumId w:val="47"/>
  </w:num>
  <w:num w:numId="30">
    <w:abstractNumId w:val="26"/>
  </w:num>
  <w:num w:numId="31">
    <w:abstractNumId w:val="43"/>
  </w:num>
  <w:num w:numId="32">
    <w:abstractNumId w:val="52"/>
  </w:num>
  <w:num w:numId="33">
    <w:abstractNumId w:val="54"/>
  </w:num>
  <w:num w:numId="34">
    <w:abstractNumId w:val="5"/>
  </w:num>
  <w:num w:numId="35">
    <w:abstractNumId w:val="24"/>
  </w:num>
  <w:num w:numId="36">
    <w:abstractNumId w:val="46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5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3"/>
  </w:num>
  <w:num w:numId="51">
    <w:abstractNumId w:val="39"/>
  </w:num>
  <w:num w:numId="52">
    <w:abstractNumId w:val="10"/>
  </w:num>
  <w:num w:numId="53">
    <w:abstractNumId w:val="50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D04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7BFF"/>
    <w:rsid w:val="000A3EC3"/>
    <w:rsid w:val="000A669D"/>
    <w:rsid w:val="000A66A8"/>
    <w:rsid w:val="000C014D"/>
    <w:rsid w:val="000D4703"/>
    <w:rsid w:val="000D693C"/>
    <w:rsid w:val="000E12D4"/>
    <w:rsid w:val="00101415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943DD"/>
    <w:rsid w:val="00195374"/>
    <w:rsid w:val="001A127F"/>
    <w:rsid w:val="001A3CA4"/>
    <w:rsid w:val="001A3EA4"/>
    <w:rsid w:val="001B3AEC"/>
    <w:rsid w:val="001B5000"/>
    <w:rsid w:val="001B6F28"/>
    <w:rsid w:val="001D4585"/>
    <w:rsid w:val="001D5D54"/>
    <w:rsid w:val="001E41C8"/>
    <w:rsid w:val="001F3AD7"/>
    <w:rsid w:val="00207630"/>
    <w:rsid w:val="00213082"/>
    <w:rsid w:val="0021714E"/>
    <w:rsid w:val="00222187"/>
    <w:rsid w:val="00222C8D"/>
    <w:rsid w:val="00222E33"/>
    <w:rsid w:val="00227B95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95831"/>
    <w:rsid w:val="00296F1B"/>
    <w:rsid w:val="002A6DF5"/>
    <w:rsid w:val="002D00B0"/>
    <w:rsid w:val="002D2E16"/>
    <w:rsid w:val="002F19EF"/>
    <w:rsid w:val="00302415"/>
    <w:rsid w:val="003102F6"/>
    <w:rsid w:val="00313304"/>
    <w:rsid w:val="00313C48"/>
    <w:rsid w:val="003162AD"/>
    <w:rsid w:val="00321148"/>
    <w:rsid w:val="00321798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A1C21"/>
    <w:rsid w:val="004A6762"/>
    <w:rsid w:val="004C1353"/>
    <w:rsid w:val="004C2C35"/>
    <w:rsid w:val="004D0B56"/>
    <w:rsid w:val="004F775C"/>
    <w:rsid w:val="004F77ED"/>
    <w:rsid w:val="005015E4"/>
    <w:rsid w:val="0050291D"/>
    <w:rsid w:val="0050697E"/>
    <w:rsid w:val="00524B3C"/>
    <w:rsid w:val="005315A9"/>
    <w:rsid w:val="00532B56"/>
    <w:rsid w:val="00540AD0"/>
    <w:rsid w:val="0054322A"/>
    <w:rsid w:val="00543923"/>
    <w:rsid w:val="005519C9"/>
    <w:rsid w:val="005523D1"/>
    <w:rsid w:val="00554A9C"/>
    <w:rsid w:val="00557624"/>
    <w:rsid w:val="0056023E"/>
    <w:rsid w:val="005658EF"/>
    <w:rsid w:val="005822A3"/>
    <w:rsid w:val="0059070B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E4662"/>
    <w:rsid w:val="005F214A"/>
    <w:rsid w:val="005F6BD6"/>
    <w:rsid w:val="00601C99"/>
    <w:rsid w:val="00607597"/>
    <w:rsid w:val="006255E4"/>
    <w:rsid w:val="00641020"/>
    <w:rsid w:val="006410C1"/>
    <w:rsid w:val="00647F05"/>
    <w:rsid w:val="006530EF"/>
    <w:rsid w:val="00654D06"/>
    <w:rsid w:val="00661536"/>
    <w:rsid w:val="0067233D"/>
    <w:rsid w:val="006745AE"/>
    <w:rsid w:val="00675BEF"/>
    <w:rsid w:val="00676AF3"/>
    <w:rsid w:val="00676D10"/>
    <w:rsid w:val="00680F71"/>
    <w:rsid w:val="00682A53"/>
    <w:rsid w:val="0069174B"/>
    <w:rsid w:val="00691F83"/>
    <w:rsid w:val="00693FA1"/>
    <w:rsid w:val="006B05E3"/>
    <w:rsid w:val="006B09BC"/>
    <w:rsid w:val="006B42A0"/>
    <w:rsid w:val="006B4E59"/>
    <w:rsid w:val="006C3402"/>
    <w:rsid w:val="006C395C"/>
    <w:rsid w:val="006C45D4"/>
    <w:rsid w:val="006E1F3C"/>
    <w:rsid w:val="006E6073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4D44"/>
    <w:rsid w:val="007660A7"/>
    <w:rsid w:val="00767B7E"/>
    <w:rsid w:val="007746A9"/>
    <w:rsid w:val="00785465"/>
    <w:rsid w:val="00787656"/>
    <w:rsid w:val="00787D04"/>
    <w:rsid w:val="007A67EA"/>
    <w:rsid w:val="007B15AF"/>
    <w:rsid w:val="007B7E83"/>
    <w:rsid w:val="007C1631"/>
    <w:rsid w:val="007C636F"/>
    <w:rsid w:val="007D0EF8"/>
    <w:rsid w:val="007D39EB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C61AB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900F0"/>
    <w:rsid w:val="00991769"/>
    <w:rsid w:val="00994E9F"/>
    <w:rsid w:val="00996931"/>
    <w:rsid w:val="009A4CD8"/>
    <w:rsid w:val="009B3ED1"/>
    <w:rsid w:val="009C433C"/>
    <w:rsid w:val="009C7D3A"/>
    <w:rsid w:val="009D28B7"/>
    <w:rsid w:val="009D7E1A"/>
    <w:rsid w:val="009E2162"/>
    <w:rsid w:val="00A006EB"/>
    <w:rsid w:val="00A03709"/>
    <w:rsid w:val="00A06C77"/>
    <w:rsid w:val="00A10147"/>
    <w:rsid w:val="00A13D26"/>
    <w:rsid w:val="00A146A5"/>
    <w:rsid w:val="00A17411"/>
    <w:rsid w:val="00A2223D"/>
    <w:rsid w:val="00A34A74"/>
    <w:rsid w:val="00A35351"/>
    <w:rsid w:val="00A42ADE"/>
    <w:rsid w:val="00A60693"/>
    <w:rsid w:val="00A67728"/>
    <w:rsid w:val="00A81A4F"/>
    <w:rsid w:val="00A82E14"/>
    <w:rsid w:val="00A901E9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40D26"/>
    <w:rsid w:val="00B4451B"/>
    <w:rsid w:val="00B52BDE"/>
    <w:rsid w:val="00B60215"/>
    <w:rsid w:val="00B72D62"/>
    <w:rsid w:val="00B843C8"/>
    <w:rsid w:val="00B951E2"/>
    <w:rsid w:val="00B96F37"/>
    <w:rsid w:val="00BA607C"/>
    <w:rsid w:val="00BB3E2A"/>
    <w:rsid w:val="00BB5714"/>
    <w:rsid w:val="00BC16F5"/>
    <w:rsid w:val="00BC287D"/>
    <w:rsid w:val="00BC4A76"/>
    <w:rsid w:val="00BD32E5"/>
    <w:rsid w:val="00BD7ADD"/>
    <w:rsid w:val="00BE41C3"/>
    <w:rsid w:val="00BE6767"/>
    <w:rsid w:val="00BE68D7"/>
    <w:rsid w:val="00BF7763"/>
    <w:rsid w:val="00C0367B"/>
    <w:rsid w:val="00C04D5E"/>
    <w:rsid w:val="00C24EA2"/>
    <w:rsid w:val="00C24F70"/>
    <w:rsid w:val="00C33479"/>
    <w:rsid w:val="00C34B4A"/>
    <w:rsid w:val="00C46EEB"/>
    <w:rsid w:val="00C47BA2"/>
    <w:rsid w:val="00C612DC"/>
    <w:rsid w:val="00C622CB"/>
    <w:rsid w:val="00C64D15"/>
    <w:rsid w:val="00C74F74"/>
    <w:rsid w:val="00C7554B"/>
    <w:rsid w:val="00C83E31"/>
    <w:rsid w:val="00C916A4"/>
    <w:rsid w:val="00C93175"/>
    <w:rsid w:val="00CA2A52"/>
    <w:rsid w:val="00CA2B15"/>
    <w:rsid w:val="00CA6490"/>
    <w:rsid w:val="00CB5744"/>
    <w:rsid w:val="00CB7022"/>
    <w:rsid w:val="00CD1937"/>
    <w:rsid w:val="00CE214C"/>
    <w:rsid w:val="00CE6858"/>
    <w:rsid w:val="00CF50BE"/>
    <w:rsid w:val="00CF6A52"/>
    <w:rsid w:val="00D03583"/>
    <w:rsid w:val="00D117B4"/>
    <w:rsid w:val="00D14C26"/>
    <w:rsid w:val="00D169F7"/>
    <w:rsid w:val="00D26D01"/>
    <w:rsid w:val="00D33DA3"/>
    <w:rsid w:val="00D4723B"/>
    <w:rsid w:val="00D55EE8"/>
    <w:rsid w:val="00D5785A"/>
    <w:rsid w:val="00D64C48"/>
    <w:rsid w:val="00D731C4"/>
    <w:rsid w:val="00D81BAA"/>
    <w:rsid w:val="00D85BE0"/>
    <w:rsid w:val="00D87C1A"/>
    <w:rsid w:val="00D87FD7"/>
    <w:rsid w:val="00D92167"/>
    <w:rsid w:val="00D9502B"/>
    <w:rsid w:val="00D97047"/>
    <w:rsid w:val="00D97108"/>
    <w:rsid w:val="00DA19BB"/>
    <w:rsid w:val="00DA5E5E"/>
    <w:rsid w:val="00DC5665"/>
    <w:rsid w:val="00DD4F44"/>
    <w:rsid w:val="00DD5D8B"/>
    <w:rsid w:val="00DE0F9E"/>
    <w:rsid w:val="00DE5D76"/>
    <w:rsid w:val="00E04C8D"/>
    <w:rsid w:val="00E128D8"/>
    <w:rsid w:val="00E21A53"/>
    <w:rsid w:val="00E30D45"/>
    <w:rsid w:val="00E42FE4"/>
    <w:rsid w:val="00E46FAA"/>
    <w:rsid w:val="00E5750B"/>
    <w:rsid w:val="00E60E2E"/>
    <w:rsid w:val="00E63A24"/>
    <w:rsid w:val="00E71A2D"/>
    <w:rsid w:val="00E8698A"/>
    <w:rsid w:val="00E923F2"/>
    <w:rsid w:val="00EA31CC"/>
    <w:rsid w:val="00EB01F0"/>
    <w:rsid w:val="00EB14DF"/>
    <w:rsid w:val="00EB2B64"/>
    <w:rsid w:val="00EB3A07"/>
    <w:rsid w:val="00EB4143"/>
    <w:rsid w:val="00EB4728"/>
    <w:rsid w:val="00EC207A"/>
    <w:rsid w:val="00EC3F31"/>
    <w:rsid w:val="00ED3C91"/>
    <w:rsid w:val="00ED4112"/>
    <w:rsid w:val="00EF1347"/>
    <w:rsid w:val="00EF2BEB"/>
    <w:rsid w:val="00F01129"/>
    <w:rsid w:val="00F03D93"/>
    <w:rsid w:val="00F03D9E"/>
    <w:rsid w:val="00F227BF"/>
    <w:rsid w:val="00F374B2"/>
    <w:rsid w:val="00F40AFC"/>
    <w:rsid w:val="00F4730E"/>
    <w:rsid w:val="00F50A92"/>
    <w:rsid w:val="00F53F24"/>
    <w:rsid w:val="00F5682F"/>
    <w:rsid w:val="00F604A3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B13C1"/>
    <w:rsid w:val="00FB420B"/>
    <w:rsid w:val="00FC1C5F"/>
    <w:rsid w:val="00FC5C0C"/>
    <w:rsid w:val="00FC64EF"/>
    <w:rsid w:val="00FD2673"/>
    <w:rsid w:val="00FE2A29"/>
    <w:rsid w:val="00FE5107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uiPriority="99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787D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uiPriority="99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787D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E6E92-CEC0-4B8F-91B3-7C0D65BE1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Settlement Reports - State of Residence by Migration Stream	</dc:title>
  <dc:subject/>
  <dc:creator/>
  <cp:keywords>State of Residence by Migration Stream, Settlement Reprots</cp:keywords>
  <cp:lastModifiedBy/>
  <cp:revision>1</cp:revision>
  <dcterms:created xsi:type="dcterms:W3CDTF">2014-09-10T06:33:00Z</dcterms:created>
  <dcterms:modified xsi:type="dcterms:W3CDTF">2014-09-15T00:26:00Z</dcterms:modified>
</cp:coreProperties>
</file>