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8C5950">
      <w:pPr>
        <w:spacing w:before="0" w:after="240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B14F9A" w:rsidRDefault="000F5404" w:rsidP="005F57F2">
      <w:pPr>
        <w:pStyle w:val="Title"/>
        <w:spacing w:before="120" w:after="120"/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</w:p>
    <w:p w:rsidR="00720EDD" w:rsidRPr="00720EDD" w:rsidRDefault="00720EDD" w:rsidP="005F57F2">
      <w:pPr>
        <w:pStyle w:val="Subtitle"/>
        <w:spacing w:before="120" w:after="120"/>
        <w:ind w:left="284"/>
      </w:pPr>
      <w:r w:rsidRPr="00B14F9A">
        <w:t>Gender</w:t>
      </w:r>
      <w:r w:rsidR="008E3D10">
        <w:t xml:space="preserve"> by </w:t>
      </w:r>
      <w:r w:rsidR="002275EA" w:rsidRPr="00B14F9A">
        <w:t xml:space="preserve">Migration </w:t>
      </w:r>
      <w:r>
        <w:t xml:space="preserve">Stream </w:t>
      </w:r>
    </w:p>
    <w:p w:rsidR="00720EDD" w:rsidRDefault="00DB51A0" w:rsidP="005F57F2">
      <w:pPr>
        <w:spacing w:line="240" w:lineRule="auto"/>
        <w:ind w:left="284"/>
        <w:rPr>
          <w:rFonts w:asciiTheme="majorHAnsi" w:hAnsiTheme="majorHAnsi"/>
        </w:rPr>
      </w:pPr>
      <w:r w:rsidRPr="00B14F9A">
        <w:rPr>
          <w:rFonts w:asciiTheme="majorHAnsi" w:hAnsiTheme="majorHAnsi"/>
        </w:rPr>
        <w:t>This table covers the Settlement Date</w:t>
      </w:r>
      <w:r w:rsidR="00720EDD">
        <w:rPr>
          <w:rStyle w:val="FootnoteReference"/>
          <w:rFonts w:asciiTheme="majorHAnsi" w:hAnsiTheme="majorHAnsi"/>
        </w:rPr>
        <w:footnoteReference w:id="1"/>
      </w:r>
      <w:r w:rsidR="007F6208">
        <w:rPr>
          <w:rFonts w:asciiTheme="majorHAnsi" w:hAnsiTheme="majorHAnsi"/>
        </w:rPr>
        <w:t xml:space="preserve"> </w:t>
      </w:r>
      <w:r w:rsidR="00066D29">
        <w:rPr>
          <w:rFonts w:asciiTheme="majorHAnsi" w:hAnsiTheme="majorHAnsi"/>
        </w:rPr>
        <w:t xml:space="preserve">range from </w:t>
      </w:r>
      <w:r w:rsidR="00E8602E">
        <w:rPr>
          <w:rFonts w:asciiTheme="majorHAnsi" w:hAnsiTheme="majorHAnsi"/>
        </w:rPr>
        <w:t>1 January 2010</w:t>
      </w:r>
      <w:r w:rsidR="00E8602E" w:rsidRPr="00B46B83">
        <w:rPr>
          <w:rFonts w:asciiTheme="majorHAnsi" w:hAnsiTheme="majorHAnsi"/>
        </w:rPr>
        <w:t xml:space="preserve"> to 3</w:t>
      </w:r>
      <w:r w:rsidR="00E8602E">
        <w:rPr>
          <w:rFonts w:asciiTheme="majorHAnsi" w:hAnsiTheme="majorHAnsi"/>
        </w:rPr>
        <w:t>1</w:t>
      </w:r>
      <w:r w:rsidR="00E8602E" w:rsidRPr="00B46B83">
        <w:rPr>
          <w:rFonts w:asciiTheme="majorHAnsi" w:hAnsiTheme="majorHAnsi"/>
        </w:rPr>
        <w:t xml:space="preserve"> </w:t>
      </w:r>
      <w:r w:rsidR="00E8602E">
        <w:rPr>
          <w:rFonts w:asciiTheme="majorHAnsi" w:hAnsiTheme="majorHAnsi"/>
        </w:rPr>
        <w:t>December</w:t>
      </w:r>
      <w:r w:rsidR="00E8602E" w:rsidRPr="00B46B83">
        <w:rPr>
          <w:rFonts w:asciiTheme="majorHAnsi" w:hAnsiTheme="majorHAnsi"/>
        </w:rPr>
        <w:t xml:space="preserve"> 2014</w:t>
      </w:r>
      <w:r w:rsidRPr="00B14F9A">
        <w:rPr>
          <w:rFonts w:asciiTheme="majorHAnsi" w:hAnsiTheme="majorHAnsi"/>
        </w:rPr>
        <w:t>.</w:t>
      </w:r>
      <w:r w:rsidR="00720EDD" w:rsidRPr="00720EDD">
        <w:rPr>
          <w:rFonts w:asciiTheme="majorHAnsi" w:hAnsiTheme="majorHAnsi"/>
        </w:rPr>
        <w:t xml:space="preserve"> </w:t>
      </w:r>
      <w:bookmarkStart w:id="0" w:name="_GoBack"/>
      <w:bookmarkEnd w:id="0"/>
    </w:p>
    <w:p w:rsidR="002275EA" w:rsidRDefault="00720EDD" w:rsidP="005F57F2">
      <w:pPr>
        <w:spacing w:line="240" w:lineRule="auto"/>
        <w:ind w:left="284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5F57F2" w:rsidRPr="00B14F9A" w:rsidRDefault="005F57F2" w:rsidP="005F57F2">
      <w:pPr>
        <w:spacing w:line="240" w:lineRule="auto"/>
        <w:ind w:left="284"/>
        <w:rPr>
          <w:rFonts w:asciiTheme="majorHAnsi" w:hAnsiTheme="majorHAnsi"/>
        </w:rPr>
      </w:pPr>
    </w:p>
    <w:tbl>
      <w:tblPr>
        <w:tblW w:w="90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ender by Migration Stream "/>
        <w:tblDescription w:val="A table showing settlers by Gender by Migration Stream who arrived  from 1 January 2010 to 31 December 2014"/>
      </w:tblPr>
      <w:tblGrid>
        <w:gridCol w:w="1440"/>
        <w:gridCol w:w="1075"/>
        <w:gridCol w:w="1836"/>
        <w:gridCol w:w="2194"/>
        <w:gridCol w:w="1075"/>
        <w:gridCol w:w="1440"/>
      </w:tblGrid>
      <w:tr w:rsidR="00193E0C" w:rsidRPr="00193E0C" w:rsidTr="005C3B7E">
        <w:trPr>
          <w:trHeight w:val="315"/>
        </w:trPr>
        <w:tc>
          <w:tcPr>
            <w:tcW w:w="1440" w:type="dxa"/>
            <w:vMerge w:val="restart"/>
            <w:shd w:val="clear" w:color="000000" w:fill="AFEFFF" w:themeFill="accent1" w:themeFillTint="33"/>
            <w:noWrap/>
            <w:vAlign w:val="center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Gender</w:t>
            </w:r>
          </w:p>
        </w:tc>
        <w:tc>
          <w:tcPr>
            <w:tcW w:w="6180" w:type="dxa"/>
            <w:gridSpan w:val="4"/>
            <w:shd w:val="clear" w:color="000000" w:fill="AFEFFF" w:themeFill="accent1" w:themeFillTint="33"/>
            <w:noWrap/>
            <w:vAlign w:val="center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40" w:type="dxa"/>
            <w:vMerge w:val="restart"/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193E0C" w:rsidRPr="00193E0C" w:rsidTr="005C3B7E">
        <w:trPr>
          <w:trHeight w:val="315"/>
        </w:trPr>
        <w:tc>
          <w:tcPr>
            <w:tcW w:w="1440" w:type="dxa"/>
            <w:vMerge/>
            <w:vAlign w:val="center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836" w:type="dxa"/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2194" w:type="dxa"/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075" w:type="dxa"/>
            <w:shd w:val="clear" w:color="000000" w:fill="AFEFFF" w:themeFill="accent1" w:themeFillTint="33"/>
            <w:noWrap/>
            <w:vAlign w:val="bottom"/>
            <w:hideMark/>
          </w:tcPr>
          <w:p w:rsidR="00193E0C" w:rsidRPr="00193E0C" w:rsidRDefault="00193E0C" w:rsidP="00193E0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440" w:type="dxa"/>
            <w:vMerge/>
            <w:vAlign w:val="center"/>
            <w:hideMark/>
          </w:tcPr>
          <w:p w:rsidR="00193E0C" w:rsidRPr="00193E0C" w:rsidRDefault="00193E0C" w:rsidP="00193E0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602E" w:rsidRPr="00193E0C" w:rsidTr="005C3B7E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E8602E" w:rsidRPr="00193E0C" w:rsidRDefault="00E8602E" w:rsidP="00193E0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Female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244,472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31,149</w:t>
            </w:r>
          </w:p>
        </w:tc>
        <w:tc>
          <w:tcPr>
            <w:tcW w:w="2194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328,857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E8602E" w:rsidRPr="00752D8F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52D8F">
              <w:rPr>
                <w:rFonts w:ascii="Calibri" w:hAnsi="Calibri"/>
                <w:b/>
                <w:color w:val="000000"/>
                <w:sz w:val="22"/>
                <w:szCs w:val="22"/>
              </w:rPr>
              <w:t>604,566</w:t>
            </w:r>
          </w:p>
        </w:tc>
      </w:tr>
      <w:tr w:rsidR="00E8602E" w:rsidRPr="00193E0C" w:rsidTr="005C3B7E">
        <w:trPr>
          <w:trHeight w:val="300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E8602E" w:rsidRPr="00193E0C" w:rsidRDefault="00E8602E" w:rsidP="00193E0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133,580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43,626</w:t>
            </w:r>
          </w:p>
        </w:tc>
        <w:tc>
          <w:tcPr>
            <w:tcW w:w="2194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371,966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E8602E" w:rsidRPr="00752D8F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52D8F">
              <w:rPr>
                <w:rFonts w:ascii="Calibri" w:hAnsi="Calibri"/>
                <w:b/>
                <w:color w:val="000000"/>
                <w:sz w:val="22"/>
                <w:szCs w:val="22"/>
              </w:rPr>
              <w:t>549,261</w:t>
            </w:r>
          </w:p>
        </w:tc>
      </w:tr>
      <w:tr w:rsidR="00E8602E" w:rsidRPr="00193E0C" w:rsidTr="005C3B7E">
        <w:trPr>
          <w:trHeight w:val="315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E8602E" w:rsidRPr="00193E0C" w:rsidRDefault="00E8602E" w:rsidP="00193E0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color w:val="000000"/>
                <w:sz w:val="22"/>
                <w:szCs w:val="22"/>
              </w:rPr>
              <w:t>Not recorded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36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2194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E8602E" w:rsidRPr="00752D8F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52D8F">
              <w:rPr>
                <w:rFonts w:ascii="Calibri" w:hAnsi="Calibri"/>
                <w:b/>
                <w:color w:val="000000"/>
                <w:sz w:val="22"/>
                <w:szCs w:val="22"/>
              </w:rPr>
              <w:t>76</w:t>
            </w:r>
          </w:p>
        </w:tc>
      </w:tr>
      <w:tr w:rsidR="00E8602E" w:rsidRPr="00193E0C" w:rsidTr="005C3B7E">
        <w:trPr>
          <w:trHeight w:val="315"/>
        </w:trPr>
        <w:tc>
          <w:tcPr>
            <w:tcW w:w="1440" w:type="dxa"/>
            <w:shd w:val="clear" w:color="auto" w:fill="AFEFFF" w:themeFill="accent1" w:themeFillTint="33"/>
            <w:noWrap/>
            <w:vAlign w:val="bottom"/>
            <w:hideMark/>
          </w:tcPr>
          <w:p w:rsidR="00E8602E" w:rsidRPr="00193E0C" w:rsidRDefault="00E8602E" w:rsidP="00193E0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93E0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075" w:type="dxa"/>
            <w:shd w:val="clear" w:color="auto" w:fill="AFEFFF" w:themeFill="accent1" w:themeFillTint="33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378,056</w:t>
            </w:r>
          </w:p>
        </w:tc>
        <w:tc>
          <w:tcPr>
            <w:tcW w:w="1836" w:type="dxa"/>
            <w:shd w:val="clear" w:color="auto" w:fill="AFEFFF" w:themeFill="accent1" w:themeFillTint="33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74,777</w:t>
            </w:r>
          </w:p>
        </w:tc>
        <w:tc>
          <w:tcPr>
            <w:tcW w:w="2194" w:type="dxa"/>
            <w:shd w:val="clear" w:color="auto" w:fill="AFEFFF" w:themeFill="accent1" w:themeFillTint="33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075" w:type="dxa"/>
            <w:shd w:val="clear" w:color="auto" w:fill="AFEFFF" w:themeFill="accent1" w:themeFillTint="33"/>
            <w:noWrap/>
            <w:vAlign w:val="bottom"/>
            <w:hideMark/>
          </w:tcPr>
          <w:p w:rsidR="00E8602E" w:rsidRDefault="00E8602E" w:rsidP="00E8602E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700,892</w:t>
            </w:r>
          </w:p>
        </w:tc>
        <w:tc>
          <w:tcPr>
            <w:tcW w:w="1440" w:type="dxa"/>
            <w:shd w:val="clear" w:color="auto" w:fill="AFEFFF" w:themeFill="accent1" w:themeFillTint="33"/>
            <w:noWrap/>
            <w:vAlign w:val="bottom"/>
            <w:hideMark/>
          </w:tcPr>
          <w:p w:rsidR="00E8602E" w:rsidRDefault="00A94B2B" w:rsidP="00A94B2B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</w:t>
            </w:r>
            <w:r w:rsidR="00E8602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,153,903</w:t>
            </w:r>
          </w:p>
        </w:tc>
      </w:tr>
    </w:tbl>
    <w:p w:rsidR="00B14F9A" w:rsidRDefault="00B14F9A" w:rsidP="005F57F2">
      <w:pPr>
        <w:spacing w:line="240" w:lineRule="auto"/>
        <w:ind w:left="284"/>
        <w:rPr>
          <w:rFonts w:asciiTheme="majorHAnsi" w:hAnsiTheme="majorHAnsi"/>
        </w:rPr>
      </w:pP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="Arial"/>
          <w:bCs/>
          <w:i/>
          <w:iCs/>
          <w:color w:val="005A70"/>
          <w:szCs w:val="28"/>
        </w:rPr>
      </w:pPr>
      <w:r w:rsidRPr="00B14F9A">
        <w:rPr>
          <w:rFonts w:asciiTheme="majorHAnsi" w:hAnsiTheme="majorHAnsi"/>
        </w:rPr>
        <w:br w:type="page"/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/>
        </w:rPr>
      </w:pPr>
      <w:r w:rsidRPr="00B14F9A">
        <w:rPr>
          <w:rFonts w:asciiTheme="majorHAnsi" w:hAnsiTheme="majorHAnsi" w:cs="Arial"/>
          <w:b/>
          <w:szCs w:val="20"/>
        </w:rPr>
        <w:lastRenderedPageBreak/>
        <w:t>Caveats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Data Capture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Data Limitations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settlers who were:</w:t>
      </w:r>
    </w:p>
    <w:p w:rsidR="00DB51A0" w:rsidRPr="00B14F9A" w:rsidRDefault="00DB51A0" w:rsidP="005F57F2">
      <w:pPr>
        <w:numPr>
          <w:ilvl w:val="1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DB51A0" w:rsidRPr="00B14F9A" w:rsidRDefault="00DB51A0" w:rsidP="005F57F2">
      <w:pPr>
        <w:numPr>
          <w:ilvl w:val="1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proofErr w:type="gramStart"/>
      <w:r w:rsidRPr="00B14F9A">
        <w:rPr>
          <w:rFonts w:asciiTheme="majorHAnsi" w:hAnsiTheme="majorHAnsi" w:cstheme="minorHAnsi"/>
          <w:szCs w:val="20"/>
        </w:rPr>
        <w:t>who</w:t>
      </w:r>
      <w:proofErr w:type="gramEnd"/>
      <w:r w:rsidRPr="00B14F9A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DB51A0" w:rsidRPr="00B14F9A" w:rsidRDefault="00DB51A0" w:rsidP="005F57F2">
      <w:pPr>
        <w:numPr>
          <w:ilvl w:val="0"/>
          <w:numId w:val="61"/>
        </w:numPr>
        <w:tabs>
          <w:tab w:val="left" w:pos="2195"/>
        </w:tabs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some duplicate settler records.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SRF includes only the settler’s </w:t>
      </w:r>
      <w:r w:rsidRPr="00B14F9A">
        <w:rPr>
          <w:rFonts w:asciiTheme="majorHAnsi" w:hAnsiTheme="majorHAnsi" w:cstheme="minorHAnsi"/>
          <w:szCs w:val="20"/>
          <w:u w:val="single"/>
        </w:rPr>
        <w:t>latest</w:t>
      </w:r>
      <w:r w:rsidRPr="00B14F9A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Reporting Limitations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983F2E">
        <w:rPr>
          <w:rFonts w:asciiTheme="majorHAnsi" w:hAnsiTheme="majorHAnsi" w:cstheme="minorHAnsi"/>
          <w:szCs w:val="20"/>
        </w:rPr>
        <w:t xml:space="preserve">essed (indicated by </w:t>
      </w:r>
      <w:r w:rsidR="00EC5F7F">
        <w:rPr>
          <w:rFonts w:asciiTheme="majorHAnsi" w:hAnsiTheme="majorHAnsi" w:cstheme="minorHAnsi"/>
          <w:szCs w:val="20"/>
        </w:rPr>
        <w:t>&lt;5</w:t>
      </w:r>
      <w:r w:rsidRPr="00B14F9A">
        <w:rPr>
          <w:rFonts w:asciiTheme="majorHAnsi" w:hAnsiTheme="majorHAnsi" w:cstheme="minorHAnsi"/>
          <w:szCs w:val="20"/>
        </w:rPr>
        <w:t>) for client confidentiality.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Report Usage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DB51A0" w:rsidRPr="00B14F9A" w:rsidRDefault="005F57F2" w:rsidP="005F57F2">
      <w:pPr>
        <w:spacing w:line="240" w:lineRule="auto"/>
        <w:ind w:left="284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DB51A0" w:rsidRPr="00B14F9A">
        <w:rPr>
          <w:rFonts w:asciiTheme="majorHAnsi" w:hAnsiTheme="majorHAnsi" w:cs="Arial"/>
          <w:i/>
          <w:szCs w:val="20"/>
        </w:rPr>
        <w:t>pdated 6 January 2014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/>
        </w:rPr>
      </w:pPr>
    </w:p>
    <w:p w:rsidR="004649E2" w:rsidRPr="00B14F9A" w:rsidRDefault="004649E2" w:rsidP="00B14F9A">
      <w:pPr>
        <w:pStyle w:val="Pullouttext"/>
        <w:ind w:left="0"/>
        <w:rPr>
          <w:rFonts w:asciiTheme="majorHAnsi" w:hAnsiTheme="majorHAnsi"/>
        </w:rPr>
      </w:pPr>
    </w:p>
    <w:sectPr w:rsidR="004649E2" w:rsidRPr="00B14F9A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1A0" w:rsidRDefault="00DB51A0">
      <w:r>
        <w:separator/>
      </w:r>
    </w:p>
  </w:endnote>
  <w:endnote w:type="continuationSeparator" w:id="0">
    <w:p w:rsidR="00DB51A0" w:rsidRDefault="00D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C3B7E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1A0" w:rsidRDefault="00DB51A0">
      <w:r>
        <w:separator/>
      </w:r>
    </w:p>
  </w:footnote>
  <w:footnote w:type="continuationSeparator" w:id="0">
    <w:p w:rsidR="00DB51A0" w:rsidRDefault="00DB51A0">
      <w:r>
        <w:continuationSeparator/>
      </w:r>
    </w:p>
  </w:footnote>
  <w:footnote w:id="1">
    <w:p w:rsidR="00720EDD" w:rsidRDefault="00720E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46B83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B46B83">
        <w:rPr>
          <w:rFonts w:asciiTheme="majorHAnsi" w:hAnsiTheme="majorHAnsi"/>
        </w:rPr>
        <w:t>granted, and 'date of arrival in Australia'</w:t>
      </w:r>
      <w:proofErr w:type="gramEnd"/>
      <w:r w:rsidRPr="00B46B83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0F5404">
    <w:pPr>
      <w:pStyle w:val="Header"/>
      <w:rPr>
        <w:noProof/>
      </w:rPr>
    </w:pPr>
    <w:r>
      <w:rPr>
        <w:noProof/>
      </w:rPr>
      <w:t>Settlement 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2C61D511" wp14:editId="4037B51B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1A0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390A"/>
    <w:rsid w:val="00066D29"/>
    <w:rsid w:val="00067CD0"/>
    <w:rsid w:val="00080F2E"/>
    <w:rsid w:val="0008156A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0F540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3E0C"/>
    <w:rsid w:val="001943DD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0A44"/>
    <w:rsid w:val="00207630"/>
    <w:rsid w:val="00213082"/>
    <w:rsid w:val="0021714E"/>
    <w:rsid w:val="00222187"/>
    <w:rsid w:val="00222C8D"/>
    <w:rsid w:val="00222E33"/>
    <w:rsid w:val="002275EA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0FAD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A4557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3B7E"/>
    <w:rsid w:val="005C561A"/>
    <w:rsid w:val="005C5B93"/>
    <w:rsid w:val="005C66FF"/>
    <w:rsid w:val="005C785A"/>
    <w:rsid w:val="005D03CA"/>
    <w:rsid w:val="005D45AB"/>
    <w:rsid w:val="005E4662"/>
    <w:rsid w:val="005E78A3"/>
    <w:rsid w:val="005F214A"/>
    <w:rsid w:val="005F57F2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0181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595D"/>
    <w:rsid w:val="006E1F3C"/>
    <w:rsid w:val="006E6073"/>
    <w:rsid w:val="006F7300"/>
    <w:rsid w:val="00703C09"/>
    <w:rsid w:val="00706216"/>
    <w:rsid w:val="00711311"/>
    <w:rsid w:val="00712300"/>
    <w:rsid w:val="00720739"/>
    <w:rsid w:val="00720EDD"/>
    <w:rsid w:val="00721695"/>
    <w:rsid w:val="007242B4"/>
    <w:rsid w:val="00724EB9"/>
    <w:rsid w:val="00725FB2"/>
    <w:rsid w:val="00730C64"/>
    <w:rsid w:val="007322AF"/>
    <w:rsid w:val="00735477"/>
    <w:rsid w:val="00736DCA"/>
    <w:rsid w:val="0074111C"/>
    <w:rsid w:val="00742399"/>
    <w:rsid w:val="0074640C"/>
    <w:rsid w:val="0075003D"/>
    <w:rsid w:val="00751B37"/>
    <w:rsid w:val="00752D8F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7F6208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3D10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83F2E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5D7E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4B2B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4A33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F9A"/>
    <w:rsid w:val="00B23267"/>
    <w:rsid w:val="00B25891"/>
    <w:rsid w:val="00B27149"/>
    <w:rsid w:val="00B30265"/>
    <w:rsid w:val="00B40D26"/>
    <w:rsid w:val="00B4451B"/>
    <w:rsid w:val="00B52BDE"/>
    <w:rsid w:val="00B72D62"/>
    <w:rsid w:val="00B843C8"/>
    <w:rsid w:val="00B951E2"/>
    <w:rsid w:val="00B96F37"/>
    <w:rsid w:val="00BA1DA4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4F1C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66507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B51A0"/>
    <w:rsid w:val="00DC5665"/>
    <w:rsid w:val="00DD4F44"/>
    <w:rsid w:val="00DD5D8B"/>
    <w:rsid w:val="00DE0F9E"/>
    <w:rsid w:val="00DE5D76"/>
    <w:rsid w:val="00E04C8D"/>
    <w:rsid w:val="00E128D8"/>
    <w:rsid w:val="00E30D45"/>
    <w:rsid w:val="00E42FE4"/>
    <w:rsid w:val="00E46FAA"/>
    <w:rsid w:val="00E5750B"/>
    <w:rsid w:val="00E60E2E"/>
    <w:rsid w:val="00E63A24"/>
    <w:rsid w:val="00E71A2D"/>
    <w:rsid w:val="00E8602E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C5F7F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63341"/>
    <w:rsid w:val="00F7536E"/>
    <w:rsid w:val="00F81F93"/>
    <w:rsid w:val="00F8345D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F9791-6048-490A-8E1E-2E397D9B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0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3</cp:revision>
  <dcterms:created xsi:type="dcterms:W3CDTF">2015-02-27T01:47:00Z</dcterms:created>
  <dcterms:modified xsi:type="dcterms:W3CDTF">2015-02-27T01:47:00Z</dcterms:modified>
</cp:coreProperties>
</file>