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560973">
      <w:pPr>
        <w:spacing w:before="0" w:after="240"/>
        <w:ind w:left="567"/>
      </w:pPr>
      <w:r>
        <w:rPr>
          <w:noProof/>
        </w:rPr>
        <w:drawing>
          <wp:inline distT="0" distB="0" distL="0" distR="0" wp14:anchorId="0B18D81D" wp14:editId="53279638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644" w:rsidRPr="00B46B83" w:rsidRDefault="00DC4C1F" w:rsidP="00560973">
      <w:pPr>
        <w:pStyle w:val="Title"/>
        <w:spacing w:before="120" w:after="120"/>
        <w:ind w:left="567"/>
        <w:rPr>
          <w:rFonts w:asciiTheme="majorHAnsi" w:hAnsiTheme="majorHAnsi"/>
        </w:rPr>
      </w:pPr>
      <w:bookmarkStart w:id="0" w:name="_Toc391890680"/>
      <w:r>
        <w:rPr>
          <w:rFonts w:asciiTheme="majorHAnsi" w:hAnsiTheme="majorHAnsi"/>
        </w:rPr>
        <w:t xml:space="preserve">Settlement </w:t>
      </w:r>
      <w:r w:rsidR="00DB6648">
        <w:rPr>
          <w:rFonts w:asciiTheme="majorHAnsi" w:hAnsiTheme="majorHAnsi"/>
        </w:rPr>
        <w:t>Reports</w:t>
      </w:r>
    </w:p>
    <w:p w:rsidR="00AE6EDD" w:rsidRPr="00EC06F9" w:rsidRDefault="00DC4C1F" w:rsidP="00560973">
      <w:pPr>
        <w:pStyle w:val="Heading1"/>
        <w:spacing w:before="120"/>
        <w:ind w:left="567"/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</w:pPr>
      <w:r w:rsidRPr="00B46B83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Age </w:t>
      </w:r>
      <w:r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by Migration Stream</w:t>
      </w:r>
      <w:r w:rsidR="00FB7644" w:rsidRPr="00B46B83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</w:t>
      </w:r>
      <w:bookmarkEnd w:id="0"/>
    </w:p>
    <w:p w:rsidR="00AE6EDD" w:rsidRDefault="00284E10" w:rsidP="00560973">
      <w:pPr>
        <w:spacing w:line="240" w:lineRule="auto"/>
        <w:ind w:left="567"/>
        <w:rPr>
          <w:rFonts w:asciiTheme="majorHAnsi" w:hAnsiTheme="majorHAnsi"/>
        </w:rPr>
      </w:pPr>
      <w:r w:rsidRPr="00B46B83">
        <w:rPr>
          <w:rFonts w:asciiTheme="majorHAnsi" w:hAnsiTheme="majorHAnsi"/>
        </w:rPr>
        <w:t>This ta</w:t>
      </w:r>
      <w:r w:rsidR="00061BCC">
        <w:rPr>
          <w:rFonts w:asciiTheme="majorHAnsi" w:hAnsiTheme="majorHAnsi"/>
        </w:rPr>
        <w:t>ble</w:t>
      </w:r>
      <w:r w:rsidR="007F3927">
        <w:rPr>
          <w:rFonts w:asciiTheme="majorHAnsi" w:hAnsiTheme="majorHAnsi"/>
        </w:rPr>
        <w:t xml:space="preserve"> covers the Settlement Date</w:t>
      </w:r>
      <w:r w:rsidR="00C74EE7">
        <w:rPr>
          <w:rStyle w:val="FootnoteReference"/>
          <w:rFonts w:asciiTheme="majorHAnsi" w:hAnsiTheme="majorHAnsi"/>
        </w:rPr>
        <w:footnoteReference w:id="1"/>
      </w:r>
      <w:r w:rsidR="00DD4C6D">
        <w:rPr>
          <w:rFonts w:asciiTheme="majorHAnsi" w:hAnsiTheme="majorHAnsi"/>
        </w:rPr>
        <w:t xml:space="preserve"> </w:t>
      </w:r>
      <w:r w:rsidR="00550119">
        <w:rPr>
          <w:rFonts w:asciiTheme="majorHAnsi" w:hAnsiTheme="majorHAnsi"/>
        </w:rPr>
        <w:t xml:space="preserve">range from 1 </w:t>
      </w:r>
      <w:r w:rsidR="00C22C6C">
        <w:rPr>
          <w:rFonts w:asciiTheme="majorHAnsi" w:hAnsiTheme="majorHAnsi"/>
        </w:rPr>
        <w:t>January 2010</w:t>
      </w:r>
      <w:r w:rsidRPr="00B46B83">
        <w:rPr>
          <w:rFonts w:asciiTheme="majorHAnsi" w:hAnsiTheme="majorHAnsi"/>
        </w:rPr>
        <w:t xml:space="preserve"> to 3</w:t>
      </w:r>
      <w:r w:rsidR="00C22C6C">
        <w:rPr>
          <w:rFonts w:asciiTheme="majorHAnsi" w:hAnsiTheme="majorHAnsi"/>
        </w:rPr>
        <w:t>1</w:t>
      </w:r>
      <w:r w:rsidRPr="00B46B83">
        <w:rPr>
          <w:rFonts w:asciiTheme="majorHAnsi" w:hAnsiTheme="majorHAnsi"/>
        </w:rPr>
        <w:t xml:space="preserve"> </w:t>
      </w:r>
      <w:r w:rsidR="00C22C6C">
        <w:rPr>
          <w:rFonts w:asciiTheme="majorHAnsi" w:hAnsiTheme="majorHAnsi"/>
        </w:rPr>
        <w:t>Dec</w:t>
      </w:r>
      <w:r w:rsidR="00922D4A">
        <w:rPr>
          <w:rFonts w:asciiTheme="majorHAnsi" w:hAnsiTheme="majorHAnsi"/>
        </w:rPr>
        <w:t>ember</w:t>
      </w:r>
      <w:r w:rsidRPr="00B46B83">
        <w:rPr>
          <w:rFonts w:asciiTheme="majorHAnsi" w:hAnsiTheme="majorHAnsi"/>
        </w:rPr>
        <w:t xml:space="preserve"> 2014.</w:t>
      </w:r>
    </w:p>
    <w:p w:rsidR="008876A4" w:rsidRDefault="004E4D8E" w:rsidP="00560973">
      <w:pPr>
        <w:spacing w:line="240" w:lineRule="auto"/>
        <w:ind w:left="567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p w:rsidR="000554C4" w:rsidRPr="00DD4C6D" w:rsidRDefault="00560973" w:rsidP="00560973">
      <w:pPr>
        <w:spacing w:line="240" w:lineRule="auto"/>
        <w:ind w:left="567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tbl>
      <w:tblPr>
        <w:tblW w:w="7829" w:type="dxa"/>
        <w:tblInd w:w="1101" w:type="dxa"/>
        <w:tblLook w:val="04A0" w:firstRow="1" w:lastRow="0" w:firstColumn="1" w:lastColumn="0" w:noHBand="0" w:noVBand="1"/>
        <w:tblCaption w:val="Age by Migration Stream Table"/>
        <w:tblDescription w:val="A table showing settlers by Age by Migration Stream who arrived  from 1 January 2010 to 31 December 2014"/>
      </w:tblPr>
      <w:tblGrid>
        <w:gridCol w:w="1559"/>
        <w:gridCol w:w="942"/>
        <w:gridCol w:w="1477"/>
        <w:gridCol w:w="1729"/>
        <w:gridCol w:w="942"/>
        <w:gridCol w:w="1180"/>
      </w:tblGrid>
      <w:tr w:rsidR="00550119" w:rsidRPr="000554C4" w:rsidTr="00550119">
        <w:trPr>
          <w:trHeight w:val="315"/>
        </w:trPr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center"/>
            <w:hideMark/>
          </w:tcPr>
          <w:p w:rsidR="000554C4" w:rsidRPr="000554C4" w:rsidRDefault="000554C4" w:rsidP="00550119">
            <w:pPr>
              <w:spacing w:before="0" w:after="0" w:line="240" w:lineRule="auto"/>
              <w:ind w:left="490" w:hanging="456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Age</w:t>
            </w:r>
          </w:p>
        </w:tc>
        <w:tc>
          <w:tcPr>
            <w:tcW w:w="509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CCECFF"/>
            <w:noWrap/>
            <w:vAlign w:val="bottom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550119" w:rsidRPr="000554C4" w:rsidTr="00550119">
        <w:trPr>
          <w:trHeight w:val="315"/>
        </w:trPr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CECFF"/>
            <w:noWrap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54C4" w:rsidRPr="000554C4" w:rsidRDefault="000554C4" w:rsidP="000554C4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22C6C" w:rsidRPr="000554C4" w:rsidTr="00550119">
        <w:trPr>
          <w:trHeight w:val="315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Pr="000554C4" w:rsidRDefault="00C22C6C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00-05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12,742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6,023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BB3EE2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59,983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2C6C" w:rsidRP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22C6C">
              <w:rPr>
                <w:rFonts w:ascii="Calibri" w:hAnsi="Calibri"/>
                <w:b/>
                <w:color w:val="000000"/>
                <w:sz w:val="22"/>
                <w:szCs w:val="22"/>
              </w:rPr>
              <w:t>78,749</w:t>
            </w:r>
          </w:p>
        </w:tc>
      </w:tr>
      <w:tr w:rsidR="00C22C6C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Pr="000554C4" w:rsidRDefault="00C22C6C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06-11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12,164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8,146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BB3EE2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55,113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2C6C" w:rsidRP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22C6C">
              <w:rPr>
                <w:rFonts w:ascii="Calibri" w:hAnsi="Calibri"/>
                <w:b/>
                <w:color w:val="000000"/>
                <w:sz w:val="22"/>
                <w:szCs w:val="22"/>
              </w:rPr>
              <w:t>75,426</w:t>
            </w:r>
          </w:p>
        </w:tc>
      </w:tr>
      <w:tr w:rsidR="00C22C6C" w:rsidRPr="000554C4" w:rsidTr="00550119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Pr="000554C4" w:rsidRDefault="00C22C6C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12-15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9,074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5,078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BB3EE2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26,209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2C6C" w:rsidRP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22C6C">
              <w:rPr>
                <w:rFonts w:ascii="Calibri" w:hAnsi="Calibri"/>
                <w:b/>
                <w:color w:val="000000"/>
                <w:sz w:val="22"/>
                <w:szCs w:val="22"/>
              </w:rPr>
              <w:t>40,365</w:t>
            </w:r>
          </w:p>
        </w:tc>
      </w:tr>
      <w:tr w:rsidR="00C22C6C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Pr="000554C4" w:rsidRDefault="00C22C6C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16-17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5,494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2,729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BB3EE2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2C6C" w:rsidRP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22C6C">
              <w:rPr>
                <w:rFonts w:ascii="Calibri" w:hAnsi="Calibri"/>
                <w:b/>
                <w:color w:val="000000"/>
                <w:sz w:val="22"/>
                <w:szCs w:val="22"/>
              </w:rPr>
              <w:t>18,726</w:t>
            </w:r>
          </w:p>
        </w:tc>
      </w:tr>
      <w:tr w:rsidR="00C22C6C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Pr="000554C4" w:rsidRDefault="00C22C6C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18-24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39,223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11,398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50,486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2C6C" w:rsidRP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22C6C">
              <w:rPr>
                <w:rFonts w:ascii="Calibri" w:hAnsi="Calibri"/>
                <w:b/>
                <w:color w:val="000000"/>
                <w:sz w:val="22"/>
                <w:szCs w:val="22"/>
              </w:rPr>
              <w:t>101,129</w:t>
            </w:r>
          </w:p>
        </w:tc>
      </w:tr>
      <w:tr w:rsidR="00C22C6C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Pr="000554C4" w:rsidRDefault="00C22C6C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25-34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161,390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18,484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299,810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2C6C" w:rsidRP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22C6C">
              <w:rPr>
                <w:rFonts w:ascii="Calibri" w:hAnsi="Calibri"/>
                <w:b/>
                <w:color w:val="000000"/>
                <w:sz w:val="22"/>
                <w:szCs w:val="22"/>
              </w:rPr>
              <w:t>479,718</w:t>
            </w:r>
          </w:p>
        </w:tc>
      </w:tr>
      <w:tr w:rsidR="00C22C6C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Pr="000554C4" w:rsidRDefault="00C22C6C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35-44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62,354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11,722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143,252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2C6C" w:rsidRP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22C6C">
              <w:rPr>
                <w:rFonts w:ascii="Calibri" w:hAnsi="Calibri"/>
                <w:b/>
                <w:color w:val="000000"/>
                <w:sz w:val="22"/>
                <w:szCs w:val="22"/>
              </w:rPr>
              <w:t>217,379</w:t>
            </w:r>
          </w:p>
        </w:tc>
      </w:tr>
      <w:tr w:rsidR="00C22C6C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Pr="000554C4" w:rsidRDefault="00C22C6C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45-54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27,226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6,090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47,846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2C6C" w:rsidRP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22C6C">
              <w:rPr>
                <w:rFonts w:ascii="Calibri" w:hAnsi="Calibri"/>
                <w:b/>
                <w:color w:val="000000"/>
                <w:sz w:val="22"/>
                <w:szCs w:val="22"/>
              </w:rPr>
              <w:t>81,210</w:t>
            </w:r>
          </w:p>
        </w:tc>
      </w:tr>
      <w:tr w:rsidR="00C22C6C" w:rsidRPr="000554C4" w:rsidTr="00550119">
        <w:trPr>
          <w:trHeight w:val="30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Pr="000554C4" w:rsidRDefault="00C22C6C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55-64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27,565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3,019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6,718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2C6C" w:rsidRP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22C6C">
              <w:rPr>
                <w:rFonts w:ascii="Calibri" w:hAnsi="Calibri"/>
                <w:b/>
                <w:color w:val="000000"/>
                <w:sz w:val="22"/>
                <w:szCs w:val="22"/>
              </w:rPr>
              <w:t>37,315</w:t>
            </w:r>
          </w:p>
        </w:tc>
      </w:tr>
      <w:tr w:rsidR="00C22C6C" w:rsidRPr="000554C4" w:rsidTr="00550119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Pr="000554C4" w:rsidRDefault="00C22C6C" w:rsidP="000554C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color w:val="000000"/>
                <w:sz w:val="22"/>
                <w:szCs w:val="22"/>
              </w:rPr>
              <w:t>65+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20,824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2,088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2C6C" w:rsidRP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C22C6C">
              <w:rPr>
                <w:rFonts w:ascii="Calibri" w:hAnsi="Calibri"/>
                <w:b/>
                <w:color w:val="000000"/>
                <w:sz w:val="22"/>
                <w:szCs w:val="22"/>
              </w:rPr>
              <w:t>23,886</w:t>
            </w:r>
          </w:p>
        </w:tc>
      </w:tr>
      <w:tr w:rsidR="00C22C6C" w:rsidRPr="000554C4" w:rsidTr="00550119">
        <w:trPr>
          <w:trHeight w:val="315"/>
        </w:trPr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:rsidR="00C22C6C" w:rsidRPr="000554C4" w:rsidRDefault="00C22C6C" w:rsidP="000554C4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0554C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378,056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74,777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700,892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ECFF"/>
            <w:noWrap/>
            <w:vAlign w:val="bottom"/>
            <w:hideMark/>
          </w:tcPr>
          <w:p w:rsidR="00C22C6C" w:rsidRDefault="00C22C6C" w:rsidP="00C22C6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1,153,903</w:t>
            </w:r>
          </w:p>
        </w:tc>
      </w:tr>
    </w:tbl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/>
        </w:rPr>
      </w:pPr>
      <w:bookmarkStart w:id="1" w:name="_GoBack"/>
      <w:bookmarkEnd w:id="1"/>
      <w:r w:rsidRPr="00DD4C6D">
        <w:rPr>
          <w:rFonts w:asciiTheme="majorHAnsi" w:hAnsiTheme="majorHAnsi"/>
        </w:rPr>
        <w:br w:type="page"/>
      </w:r>
      <w:r w:rsidRPr="00B46B83">
        <w:rPr>
          <w:rFonts w:asciiTheme="majorHAnsi" w:hAnsiTheme="majorHAnsi" w:cs="Arial"/>
          <w:b/>
          <w:szCs w:val="20"/>
        </w:rPr>
        <w:lastRenderedPageBreak/>
        <w:t>Caveats</w:t>
      </w:r>
    </w:p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b/>
          <w:szCs w:val="20"/>
        </w:rPr>
        <w:t>Data Capture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b/>
          <w:szCs w:val="20"/>
        </w:rPr>
        <w:t>Data Limitations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includes settlers who were:</w:t>
      </w:r>
    </w:p>
    <w:p w:rsidR="00FB7644" w:rsidRPr="00B46B83" w:rsidRDefault="00FB7644" w:rsidP="00560973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FB7644" w:rsidRPr="00B46B83" w:rsidRDefault="00FB7644" w:rsidP="00560973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proofErr w:type="gramStart"/>
      <w:r w:rsidRPr="00B46B83">
        <w:rPr>
          <w:rFonts w:asciiTheme="majorHAnsi" w:hAnsiTheme="majorHAnsi" w:cstheme="minorHAnsi"/>
          <w:szCs w:val="20"/>
        </w:rPr>
        <w:t>who</w:t>
      </w:r>
      <w:proofErr w:type="gramEnd"/>
      <w:r w:rsidRPr="00B46B83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FB7644" w:rsidRPr="00B46B83" w:rsidRDefault="00FB7644" w:rsidP="00560973">
      <w:pPr>
        <w:numPr>
          <w:ilvl w:val="0"/>
          <w:numId w:val="61"/>
        </w:numPr>
        <w:tabs>
          <w:tab w:val="left" w:pos="2195"/>
        </w:tabs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szCs w:val="20"/>
        </w:rPr>
        <w:t>SRF includes some duplicate settler records.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szCs w:val="20"/>
        </w:rPr>
        <w:t xml:space="preserve">SRF includes only the settler’s </w:t>
      </w:r>
      <w:r w:rsidRPr="00B46B83">
        <w:rPr>
          <w:rFonts w:asciiTheme="majorHAnsi" w:hAnsiTheme="majorHAnsi" w:cstheme="minorHAnsi"/>
          <w:szCs w:val="20"/>
          <w:u w:val="single"/>
        </w:rPr>
        <w:t>latest</w:t>
      </w:r>
      <w:r w:rsidRPr="00B46B83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b/>
          <w:szCs w:val="20"/>
        </w:rPr>
        <w:t>Reporting Limitations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E97BB1">
        <w:rPr>
          <w:rFonts w:asciiTheme="majorHAnsi" w:hAnsiTheme="majorHAnsi" w:cstheme="minorHAnsi"/>
          <w:szCs w:val="20"/>
        </w:rPr>
        <w:t xml:space="preserve">essed (indicated by </w:t>
      </w:r>
      <w:r w:rsidR="00994594">
        <w:rPr>
          <w:rFonts w:asciiTheme="majorHAnsi" w:hAnsiTheme="majorHAnsi" w:cstheme="minorHAnsi"/>
          <w:szCs w:val="20"/>
        </w:rPr>
        <w:t>&lt;5</w:t>
      </w:r>
      <w:r w:rsidRPr="00B46B83">
        <w:rPr>
          <w:rFonts w:asciiTheme="majorHAnsi" w:hAnsiTheme="majorHAnsi" w:cstheme="minorHAnsi"/>
          <w:szCs w:val="20"/>
        </w:rPr>
        <w:t>) for client confidentiality.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b/>
          <w:szCs w:val="20"/>
        </w:rPr>
        <w:t>Report Usage</w:t>
      </w:r>
    </w:p>
    <w:p w:rsidR="00FB7644" w:rsidRPr="00B46B83" w:rsidRDefault="00FB7644" w:rsidP="00560973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FB7644" w:rsidRPr="00B46B83" w:rsidRDefault="00A86A6B" w:rsidP="00560973">
      <w:pPr>
        <w:spacing w:line="240" w:lineRule="auto"/>
        <w:ind w:left="567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FB7644" w:rsidRPr="00B46B83">
        <w:rPr>
          <w:rFonts w:asciiTheme="majorHAnsi" w:hAnsiTheme="majorHAnsi" w:cs="Arial"/>
          <w:i/>
          <w:szCs w:val="20"/>
        </w:rPr>
        <w:t>pdated 6 January 2014</w:t>
      </w:r>
    </w:p>
    <w:p w:rsidR="00FB7644" w:rsidRPr="00B46B83" w:rsidRDefault="00FB7644" w:rsidP="00560973">
      <w:pPr>
        <w:spacing w:line="240" w:lineRule="auto"/>
        <w:ind w:left="567"/>
        <w:rPr>
          <w:rFonts w:asciiTheme="majorHAnsi" w:hAnsiTheme="majorHAnsi"/>
        </w:rPr>
      </w:pPr>
    </w:p>
    <w:sectPr w:rsidR="00FB7644" w:rsidRPr="00B46B83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644" w:rsidRDefault="00FB7644">
      <w:r>
        <w:separator/>
      </w:r>
    </w:p>
  </w:endnote>
  <w:endnote w:type="continuationSeparator" w:id="0">
    <w:p w:rsidR="00FB7644" w:rsidRDefault="00F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8" w:rsidRDefault="00DB66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B3EE2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8" w:rsidRDefault="00DB66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644" w:rsidRDefault="00FB7644">
      <w:r>
        <w:separator/>
      </w:r>
    </w:p>
  </w:footnote>
  <w:footnote w:type="continuationSeparator" w:id="0">
    <w:p w:rsidR="00FB7644" w:rsidRDefault="00FB7644">
      <w:r>
        <w:continuationSeparator/>
      </w:r>
    </w:p>
  </w:footnote>
  <w:footnote w:id="1">
    <w:p w:rsidR="00C74EE7" w:rsidRDefault="00C74EE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D4C6D">
        <w:rPr>
          <w:rFonts w:asciiTheme="majorHAnsi" w:hAnsiTheme="majorHAnsi"/>
        </w:rPr>
        <w:t xml:space="preserve">Settlement Date is </w:t>
      </w:r>
      <w:r w:rsidRPr="004E4D8E">
        <w:rPr>
          <w:rFonts w:asciiTheme="majorHAnsi" w:hAnsiTheme="majorHAnsi"/>
          <w:i/>
        </w:rPr>
        <w:t>'date of visa grant'</w:t>
      </w:r>
      <w:r w:rsidRPr="00DD4C6D">
        <w:rPr>
          <w:rFonts w:asciiTheme="majorHAnsi" w:hAnsiTheme="majorHAnsi"/>
        </w:rPr>
        <w:t xml:space="preserve"> for settlers who were in Australia when their visa was </w:t>
      </w:r>
      <w:proofErr w:type="gramStart"/>
      <w:r w:rsidR="004E4D8E">
        <w:rPr>
          <w:rFonts w:asciiTheme="majorHAnsi" w:hAnsiTheme="majorHAnsi"/>
        </w:rPr>
        <w:t>granted,</w:t>
      </w:r>
      <w:r w:rsidRPr="00DD4C6D">
        <w:rPr>
          <w:rFonts w:asciiTheme="majorHAnsi" w:hAnsiTheme="majorHAnsi"/>
        </w:rPr>
        <w:t xml:space="preserve"> and </w:t>
      </w:r>
      <w:r w:rsidRPr="004E4D8E">
        <w:rPr>
          <w:rFonts w:asciiTheme="majorHAnsi" w:hAnsiTheme="majorHAnsi"/>
          <w:i/>
        </w:rPr>
        <w:t>'date of arrival in Australia</w:t>
      </w:r>
      <w:r w:rsidRPr="00DD4C6D">
        <w:rPr>
          <w:rFonts w:asciiTheme="majorHAnsi" w:hAnsiTheme="majorHAnsi"/>
        </w:rPr>
        <w:t>'</w:t>
      </w:r>
      <w:proofErr w:type="gramEnd"/>
      <w:r w:rsidRPr="00DD4C6D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8" w:rsidRDefault="00DB66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7F3927">
    <w:pPr>
      <w:pStyle w:val="Header"/>
      <w:rPr>
        <w:noProof/>
      </w:rPr>
    </w:pPr>
    <w:r>
      <w:rPr>
        <w:noProof/>
      </w:rPr>
      <w:t xml:space="preserve">Settlement </w:t>
    </w:r>
    <w:r w:rsidR="00DB6648">
      <w:rPr>
        <w:noProof/>
      </w:rPr>
      <w:t>Reports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3A23A1CB" wp14:editId="0402C1C4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8" w:rsidRDefault="00DB6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4251CF0"/>
    <w:multiLevelType w:val="hybridMultilevel"/>
    <w:tmpl w:val="E25A2262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8"/>
  </w:num>
  <w:num w:numId="7">
    <w:abstractNumId w:val="45"/>
  </w:num>
  <w:num w:numId="8">
    <w:abstractNumId w:val="50"/>
  </w:num>
  <w:num w:numId="9">
    <w:abstractNumId w:val="8"/>
  </w:num>
  <w:num w:numId="10">
    <w:abstractNumId w:val="57"/>
  </w:num>
  <w:num w:numId="11">
    <w:abstractNumId w:val="17"/>
  </w:num>
  <w:num w:numId="12">
    <w:abstractNumId w:val="41"/>
  </w:num>
  <w:num w:numId="13">
    <w:abstractNumId w:val="52"/>
  </w:num>
  <w:num w:numId="14">
    <w:abstractNumId w:val="34"/>
  </w:num>
  <w:num w:numId="15">
    <w:abstractNumId w:val="4"/>
  </w:num>
  <w:num w:numId="16">
    <w:abstractNumId w:val="13"/>
  </w:num>
  <w:num w:numId="17">
    <w:abstractNumId w:val="56"/>
  </w:num>
  <w:num w:numId="18">
    <w:abstractNumId w:val="49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60"/>
  </w:num>
  <w:num w:numId="25">
    <w:abstractNumId w:val="33"/>
  </w:num>
  <w:num w:numId="26">
    <w:abstractNumId w:val="38"/>
  </w:num>
  <w:num w:numId="27">
    <w:abstractNumId w:val="20"/>
  </w:num>
  <w:num w:numId="28">
    <w:abstractNumId w:val="59"/>
  </w:num>
  <w:num w:numId="29">
    <w:abstractNumId w:val="48"/>
  </w:num>
  <w:num w:numId="30">
    <w:abstractNumId w:val="26"/>
  </w:num>
  <w:num w:numId="31">
    <w:abstractNumId w:val="44"/>
  </w:num>
  <w:num w:numId="32">
    <w:abstractNumId w:val="53"/>
  </w:num>
  <w:num w:numId="33">
    <w:abstractNumId w:val="55"/>
  </w:num>
  <w:num w:numId="34">
    <w:abstractNumId w:val="5"/>
  </w:num>
  <w:num w:numId="35">
    <w:abstractNumId w:val="24"/>
  </w:num>
  <w:num w:numId="36">
    <w:abstractNumId w:val="47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6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4"/>
  </w:num>
  <w:num w:numId="51">
    <w:abstractNumId w:val="39"/>
  </w:num>
  <w:num w:numId="52">
    <w:abstractNumId w:val="10"/>
  </w:num>
  <w:num w:numId="53">
    <w:abstractNumId w:val="51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 w:numId="62">
    <w:abstractNumId w:val="4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644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554C4"/>
    <w:rsid w:val="00061BCC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C7A2B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747F3"/>
    <w:rsid w:val="00185F6A"/>
    <w:rsid w:val="001943DD"/>
    <w:rsid w:val="00195374"/>
    <w:rsid w:val="001A127F"/>
    <w:rsid w:val="001A39C5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7630"/>
    <w:rsid w:val="00213082"/>
    <w:rsid w:val="0021714E"/>
    <w:rsid w:val="00222187"/>
    <w:rsid w:val="00222C8D"/>
    <w:rsid w:val="00222E33"/>
    <w:rsid w:val="00227B95"/>
    <w:rsid w:val="00227EF8"/>
    <w:rsid w:val="0023523A"/>
    <w:rsid w:val="002353DF"/>
    <w:rsid w:val="00235F71"/>
    <w:rsid w:val="0025272A"/>
    <w:rsid w:val="00271922"/>
    <w:rsid w:val="0027204E"/>
    <w:rsid w:val="00273412"/>
    <w:rsid w:val="00274ACF"/>
    <w:rsid w:val="00284E10"/>
    <w:rsid w:val="00285F1B"/>
    <w:rsid w:val="00295831"/>
    <w:rsid w:val="00296F1B"/>
    <w:rsid w:val="002A6DF5"/>
    <w:rsid w:val="002D00B0"/>
    <w:rsid w:val="002D2E16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07B02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B6370"/>
    <w:rsid w:val="004C2C35"/>
    <w:rsid w:val="004E4D8E"/>
    <w:rsid w:val="004F775C"/>
    <w:rsid w:val="005015E4"/>
    <w:rsid w:val="0050291D"/>
    <w:rsid w:val="00502DA4"/>
    <w:rsid w:val="0050697E"/>
    <w:rsid w:val="00524B3C"/>
    <w:rsid w:val="005315A9"/>
    <w:rsid w:val="00532B56"/>
    <w:rsid w:val="00540AD0"/>
    <w:rsid w:val="0054322A"/>
    <w:rsid w:val="00543923"/>
    <w:rsid w:val="00550119"/>
    <w:rsid w:val="005519C9"/>
    <w:rsid w:val="005523D1"/>
    <w:rsid w:val="00554A9C"/>
    <w:rsid w:val="00557624"/>
    <w:rsid w:val="0056023E"/>
    <w:rsid w:val="00560973"/>
    <w:rsid w:val="00563AA0"/>
    <w:rsid w:val="005658EF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12E"/>
    <w:rsid w:val="005D03CA"/>
    <w:rsid w:val="005D45AB"/>
    <w:rsid w:val="005E4662"/>
    <w:rsid w:val="005F214A"/>
    <w:rsid w:val="005F6BD6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17EA"/>
    <w:rsid w:val="006E1F3C"/>
    <w:rsid w:val="006E6073"/>
    <w:rsid w:val="006F3085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7F3927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876A4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22D4A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594"/>
    <w:rsid w:val="00994E9F"/>
    <w:rsid w:val="00996931"/>
    <w:rsid w:val="009A4CD8"/>
    <w:rsid w:val="009B3ED1"/>
    <w:rsid w:val="009C433C"/>
    <w:rsid w:val="009C7D3A"/>
    <w:rsid w:val="009D28B7"/>
    <w:rsid w:val="009D6DA4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17A3E"/>
    <w:rsid w:val="00A2223D"/>
    <w:rsid w:val="00A34A74"/>
    <w:rsid w:val="00A35351"/>
    <w:rsid w:val="00A42ADE"/>
    <w:rsid w:val="00A50ED8"/>
    <w:rsid w:val="00A60693"/>
    <w:rsid w:val="00A67728"/>
    <w:rsid w:val="00A81A4F"/>
    <w:rsid w:val="00A82E14"/>
    <w:rsid w:val="00A86A6B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E6EDD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1431F"/>
    <w:rsid w:val="00B23267"/>
    <w:rsid w:val="00B25891"/>
    <w:rsid w:val="00B27149"/>
    <w:rsid w:val="00B30265"/>
    <w:rsid w:val="00B40D26"/>
    <w:rsid w:val="00B4451B"/>
    <w:rsid w:val="00B46B83"/>
    <w:rsid w:val="00B52BDE"/>
    <w:rsid w:val="00B72D62"/>
    <w:rsid w:val="00B843C8"/>
    <w:rsid w:val="00B951E2"/>
    <w:rsid w:val="00B96F37"/>
    <w:rsid w:val="00BA607C"/>
    <w:rsid w:val="00BB3E2A"/>
    <w:rsid w:val="00BB3EE2"/>
    <w:rsid w:val="00BC16F5"/>
    <w:rsid w:val="00BC1CA1"/>
    <w:rsid w:val="00BC287D"/>
    <w:rsid w:val="00BC4A76"/>
    <w:rsid w:val="00BD32E5"/>
    <w:rsid w:val="00BD7ADD"/>
    <w:rsid w:val="00BE41C3"/>
    <w:rsid w:val="00BE6767"/>
    <w:rsid w:val="00BE68D7"/>
    <w:rsid w:val="00BF01D4"/>
    <w:rsid w:val="00BF7763"/>
    <w:rsid w:val="00C04D5E"/>
    <w:rsid w:val="00C22C6C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EE7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6180"/>
    <w:rsid w:val="00D5785A"/>
    <w:rsid w:val="00D64C48"/>
    <w:rsid w:val="00D731C4"/>
    <w:rsid w:val="00D76A2B"/>
    <w:rsid w:val="00D81BAA"/>
    <w:rsid w:val="00D85BE0"/>
    <w:rsid w:val="00D87C1A"/>
    <w:rsid w:val="00D87FD7"/>
    <w:rsid w:val="00D92167"/>
    <w:rsid w:val="00D9502B"/>
    <w:rsid w:val="00D97047"/>
    <w:rsid w:val="00D97108"/>
    <w:rsid w:val="00DA270A"/>
    <w:rsid w:val="00DB6648"/>
    <w:rsid w:val="00DC4C1F"/>
    <w:rsid w:val="00DC5665"/>
    <w:rsid w:val="00DD1777"/>
    <w:rsid w:val="00DD4C6D"/>
    <w:rsid w:val="00DD4F44"/>
    <w:rsid w:val="00DD5D8B"/>
    <w:rsid w:val="00DE0F9E"/>
    <w:rsid w:val="00DE5D76"/>
    <w:rsid w:val="00E04C8D"/>
    <w:rsid w:val="00E128D8"/>
    <w:rsid w:val="00E26CB7"/>
    <w:rsid w:val="00E30D45"/>
    <w:rsid w:val="00E42FE4"/>
    <w:rsid w:val="00E46FAA"/>
    <w:rsid w:val="00E5750B"/>
    <w:rsid w:val="00E60E2E"/>
    <w:rsid w:val="00E63A24"/>
    <w:rsid w:val="00E71A2D"/>
    <w:rsid w:val="00E8698A"/>
    <w:rsid w:val="00E923F2"/>
    <w:rsid w:val="00E97BB1"/>
    <w:rsid w:val="00EA31CC"/>
    <w:rsid w:val="00EB14DF"/>
    <w:rsid w:val="00EB2B64"/>
    <w:rsid w:val="00EB3A07"/>
    <w:rsid w:val="00EB4143"/>
    <w:rsid w:val="00EB4728"/>
    <w:rsid w:val="00EC06F9"/>
    <w:rsid w:val="00EC207A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74B2"/>
    <w:rsid w:val="00F40AFC"/>
    <w:rsid w:val="00F4730E"/>
    <w:rsid w:val="00F50A92"/>
    <w:rsid w:val="00F53F24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420B"/>
    <w:rsid w:val="00FB7644"/>
    <w:rsid w:val="00FC1C5F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AA0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563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AA0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56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soffice\2003Templates\Factsheet%20templates\DSS_Fact%20Sheet%20template_Blue.dotx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41066-C2A9-4718-AFE6-51B757745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DSS_Fact Sheet template_Blue</Template>
  <TotalTime>2</TotalTime>
  <Pages>2</Pages>
  <Words>498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MCPADDEN, Gill</cp:lastModifiedBy>
  <cp:revision>4</cp:revision>
  <cp:lastPrinted>2014-11-20T02:05:00Z</cp:lastPrinted>
  <dcterms:created xsi:type="dcterms:W3CDTF">2015-01-09T03:18:00Z</dcterms:created>
  <dcterms:modified xsi:type="dcterms:W3CDTF">2015-01-09T03:27:00Z</dcterms:modified>
</cp:coreProperties>
</file>