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4D7" w:rsidRDefault="008C44D7" w:rsidP="008C44D7">
      <w:r>
        <w:t>NOTES ON USING THIS DATASET</w:t>
      </w:r>
    </w:p>
    <w:p w:rsidR="008C44D7" w:rsidRDefault="008C44D7" w:rsidP="008C44D7">
      <w:bookmarkStart w:id="0" w:name="_GoBack"/>
      <w:bookmarkEnd w:id="0"/>
    </w:p>
    <w:tbl>
      <w:tblPr>
        <w:tblStyle w:val="TableGrid"/>
        <w:tblW w:w="0" w:type="auto"/>
        <w:tblLayout w:type="fixed"/>
        <w:tblLook w:val="04A0" w:firstRow="1" w:lastRow="0" w:firstColumn="1" w:lastColumn="0" w:noHBand="0" w:noVBand="1"/>
      </w:tblPr>
      <w:tblGrid>
        <w:gridCol w:w="3510"/>
        <w:gridCol w:w="5778"/>
      </w:tblGrid>
      <w:tr w:rsidR="008C44D7" w:rsidRPr="008C44D7" w:rsidTr="00B41503">
        <w:tc>
          <w:tcPr>
            <w:tcW w:w="3510" w:type="dxa"/>
          </w:tcPr>
          <w:p w:rsidR="008C44D7" w:rsidRPr="008C44D7" w:rsidRDefault="008C44D7" w:rsidP="00320DDA">
            <w:r w:rsidRPr="008C44D7">
              <w:t>Dataset</w:t>
            </w:r>
            <w:r w:rsidR="0023732E">
              <w:t xml:space="preserve"> title</w:t>
            </w:r>
          </w:p>
        </w:tc>
        <w:tc>
          <w:tcPr>
            <w:tcW w:w="5778" w:type="dxa"/>
          </w:tcPr>
          <w:p w:rsidR="008C44D7" w:rsidRPr="008C44D7" w:rsidRDefault="00C047F1" w:rsidP="00C047F1">
            <w:r>
              <w:t>H</w:t>
            </w:r>
            <w:r w:rsidR="008C44D7" w:rsidRPr="008C44D7">
              <w:t xml:space="preserve">ealth </w:t>
            </w:r>
            <w:r>
              <w:t>S</w:t>
            </w:r>
            <w:r w:rsidR="008C44D7" w:rsidRPr="008C44D7">
              <w:t xml:space="preserve">ystem </w:t>
            </w:r>
            <w:r>
              <w:t>D</w:t>
            </w:r>
            <w:r w:rsidR="008C44D7" w:rsidRPr="008C44D7">
              <w:t>ashboard</w:t>
            </w:r>
            <w:r>
              <w:t xml:space="preserve"> – March 201</w:t>
            </w:r>
            <w:r w:rsidR="005B38DB">
              <w:t>8</w:t>
            </w:r>
          </w:p>
        </w:tc>
      </w:tr>
      <w:tr w:rsidR="008C44D7" w:rsidRPr="008C44D7" w:rsidTr="00B41503">
        <w:tc>
          <w:tcPr>
            <w:tcW w:w="3510" w:type="dxa"/>
          </w:tcPr>
          <w:p w:rsidR="008C44D7" w:rsidRPr="008C44D7" w:rsidRDefault="008C44D7" w:rsidP="00320DDA">
            <w:r w:rsidRPr="008C44D7">
              <w:t xml:space="preserve">Date </w:t>
            </w:r>
            <w:r>
              <w:t xml:space="preserve">this document </w:t>
            </w:r>
            <w:r w:rsidRPr="008C44D7">
              <w:t>prepared</w:t>
            </w:r>
          </w:p>
        </w:tc>
        <w:tc>
          <w:tcPr>
            <w:tcW w:w="5778" w:type="dxa"/>
          </w:tcPr>
          <w:p w:rsidR="008C44D7" w:rsidRPr="008C44D7" w:rsidRDefault="009F635F" w:rsidP="005B38DB">
            <w:r>
              <w:t>31</w:t>
            </w:r>
            <w:r w:rsidR="008C44D7" w:rsidRPr="008C44D7">
              <w:t xml:space="preserve"> </w:t>
            </w:r>
            <w:r w:rsidR="005B38DB">
              <w:t>August</w:t>
            </w:r>
            <w:r w:rsidR="005D554E">
              <w:t xml:space="preserve"> 2018</w:t>
            </w:r>
          </w:p>
        </w:tc>
      </w:tr>
      <w:tr w:rsidR="0023732E" w:rsidRPr="008C44D7" w:rsidTr="00B41503">
        <w:tc>
          <w:tcPr>
            <w:tcW w:w="3510" w:type="dxa"/>
          </w:tcPr>
          <w:p w:rsidR="0023732E" w:rsidRPr="008C44D7" w:rsidRDefault="0023732E" w:rsidP="00770265">
            <w:r w:rsidRPr="008C44D7">
              <w:t>Contact</w:t>
            </w:r>
          </w:p>
        </w:tc>
        <w:tc>
          <w:tcPr>
            <w:tcW w:w="5778" w:type="dxa"/>
          </w:tcPr>
          <w:p w:rsidR="0023732E" w:rsidRPr="008C44D7" w:rsidRDefault="005B38DB" w:rsidP="00770265">
            <w:r>
              <w:t>healthstats@health</w:t>
            </w:r>
            <w:r w:rsidR="0023732E" w:rsidRPr="008C44D7">
              <w:t>.tas.gov.au</w:t>
            </w:r>
          </w:p>
        </w:tc>
      </w:tr>
      <w:tr w:rsidR="008C44D7" w:rsidRPr="008C44D7" w:rsidTr="00B41503">
        <w:tc>
          <w:tcPr>
            <w:tcW w:w="3510" w:type="dxa"/>
          </w:tcPr>
          <w:p w:rsidR="008C44D7" w:rsidRPr="008C44D7" w:rsidRDefault="0023732E" w:rsidP="00320DDA">
            <w:r>
              <w:t>Organisation</w:t>
            </w:r>
          </w:p>
        </w:tc>
        <w:tc>
          <w:tcPr>
            <w:tcW w:w="5778" w:type="dxa"/>
          </w:tcPr>
          <w:p w:rsidR="008C44D7" w:rsidRPr="008C44D7" w:rsidRDefault="0023732E" w:rsidP="005B38DB">
            <w:r>
              <w:t>Department of Health (Tasmania)</w:t>
            </w:r>
          </w:p>
        </w:tc>
      </w:tr>
    </w:tbl>
    <w:p w:rsidR="008C44D7" w:rsidRDefault="008C44D7" w:rsidP="002C21A4"/>
    <w:p w:rsidR="00A91E65" w:rsidRDefault="008C44D7" w:rsidP="002C21A4">
      <w:r>
        <w:t>CONTEXT</w:t>
      </w:r>
    </w:p>
    <w:p w:rsidR="00C81C35" w:rsidRDefault="008C44D7" w:rsidP="002C21A4">
      <w:r>
        <w:t>The health system dashboard</w:t>
      </w:r>
      <w:r w:rsidR="0023732E">
        <w:t xml:space="preserve"> is published four times a year through the HealthStats website </w:t>
      </w:r>
      <w:r w:rsidR="005B38DB">
        <w:t>(</w:t>
      </w:r>
      <w:hyperlink r:id="rId6" w:history="1">
        <w:r w:rsidR="005B38DB" w:rsidRPr="00C91102">
          <w:rPr>
            <w:rStyle w:val="Hyperlink"/>
          </w:rPr>
          <w:t>https://www.healthstats.dhhs.tas.gov.au</w:t>
        </w:r>
      </w:hyperlink>
      <w:r w:rsidR="005B38DB">
        <w:t>)</w:t>
      </w:r>
      <w:r w:rsidR="0023732E">
        <w:t>.</w:t>
      </w:r>
      <w:r w:rsidR="00242ECD">
        <w:t xml:space="preserve"> </w:t>
      </w:r>
      <w:r w:rsidR="00C81C35">
        <w:t>The health system dashboard provides headline indicators and supporting statistics on the Tasmanian public health system.</w:t>
      </w:r>
    </w:p>
    <w:p w:rsidR="00242ECD" w:rsidRDefault="00242ECD" w:rsidP="002C21A4">
      <w:r>
        <w:t>Each edition of the health system dashboard presents data for a 12 month period.</w:t>
      </w:r>
      <w:r w:rsidR="00C81C35">
        <w:t xml:space="preserve"> </w:t>
      </w:r>
      <w:r>
        <w:t>The March 201</w:t>
      </w:r>
      <w:r w:rsidR="005B38DB">
        <w:t>8</w:t>
      </w:r>
      <w:r>
        <w:t xml:space="preserve"> edition of the health system dashboard was published on </w:t>
      </w:r>
      <w:r w:rsidR="005B38DB">
        <w:t>29</w:t>
      </w:r>
      <w:r>
        <w:t xml:space="preserve"> June 201</w:t>
      </w:r>
      <w:r w:rsidR="005B38DB">
        <w:t>8</w:t>
      </w:r>
      <w:r>
        <w:t>. It present</w:t>
      </w:r>
      <w:r w:rsidR="00E33400">
        <w:t>s</w:t>
      </w:r>
      <w:r>
        <w:t xml:space="preserve"> data for the 12 months to March 201</w:t>
      </w:r>
      <w:r w:rsidR="005B38DB">
        <w:t>8</w:t>
      </w:r>
      <w:r>
        <w:t>.</w:t>
      </w:r>
    </w:p>
    <w:p w:rsidR="00A91E65" w:rsidRDefault="00A91E65" w:rsidP="002C21A4"/>
    <w:p w:rsidR="00242ECD" w:rsidRDefault="00242ECD" w:rsidP="002C21A4">
      <w:r>
        <w:t>DATASET CONSTRUCTION</w:t>
      </w:r>
    </w:p>
    <w:p w:rsidR="00242ECD" w:rsidRDefault="00A712ED" w:rsidP="002C21A4">
      <w:r>
        <w:t xml:space="preserve">The </w:t>
      </w:r>
      <w:r w:rsidR="00E33400">
        <w:t xml:space="preserve">dataset is </w:t>
      </w:r>
      <w:r w:rsidR="00197E82">
        <w:t>a complete</w:t>
      </w:r>
      <w:r w:rsidR="00E33400">
        <w:t xml:space="preserve"> set of data published on the health system dashboard from the</w:t>
      </w:r>
      <w:r w:rsidR="00C81C35">
        <w:t xml:space="preserve"> initial</w:t>
      </w:r>
      <w:r w:rsidR="00E33400">
        <w:t xml:space="preserve"> June 2015 edition through to the </w:t>
      </w:r>
      <w:r w:rsidR="00C81C35">
        <w:t xml:space="preserve">latest </w:t>
      </w:r>
      <w:r w:rsidR="00E33400">
        <w:t>March 201</w:t>
      </w:r>
      <w:r w:rsidR="005B38DB">
        <w:t>8</w:t>
      </w:r>
      <w:r w:rsidR="00E33400">
        <w:t xml:space="preserve"> edition. This </w:t>
      </w:r>
      <w:r w:rsidR="00C81C35">
        <w:t xml:space="preserve">dataset </w:t>
      </w:r>
      <w:r w:rsidR="00E33400">
        <w:t xml:space="preserve">covers the </w:t>
      </w:r>
      <w:r w:rsidR="005B38DB">
        <w:t>45</w:t>
      </w:r>
      <w:r w:rsidR="00E33400">
        <w:t xml:space="preserve"> month period from July 2014 through to March 201</w:t>
      </w:r>
      <w:r w:rsidR="005B38DB">
        <w:t>8</w:t>
      </w:r>
      <w:r w:rsidR="00E33400">
        <w:t>.</w:t>
      </w:r>
    </w:p>
    <w:p w:rsidR="00197E82" w:rsidRDefault="007234BD" w:rsidP="002C21A4">
      <w:r>
        <w:t>Note, e</w:t>
      </w:r>
      <w:r w:rsidR="00E33400">
        <w:t>ach time a new edition of the health system dashboard is published, 3 new months of data are added and the 3 oldest months of data are removed.</w:t>
      </w:r>
      <w:r w:rsidR="00197E82">
        <w:t xml:space="preserve"> Whilst there are 9 months in common between consecutive versions of the health system dashboard, data may be revised between versions.</w:t>
      </w:r>
    </w:p>
    <w:p w:rsidR="000478B3" w:rsidRDefault="00197E82" w:rsidP="002C21A4">
      <w:r>
        <w:t xml:space="preserve">The dataset is constructed by taking data for a </w:t>
      </w:r>
      <w:r w:rsidR="00C81C35">
        <w:t xml:space="preserve">particular </w:t>
      </w:r>
      <w:r>
        <w:t>month from the last edition of the health system dashboard in which it was published. That is, d</w:t>
      </w:r>
      <w:r w:rsidR="00E33400">
        <w:t xml:space="preserve">ata for the </w:t>
      </w:r>
      <w:r>
        <w:t>3</w:t>
      </w:r>
      <w:r w:rsidR="00E33400">
        <w:t xml:space="preserve"> month period from July</w:t>
      </w:r>
      <w:r w:rsidR="00E33400" w:rsidRPr="00E33400">
        <w:t xml:space="preserve"> </w:t>
      </w:r>
      <w:r w:rsidR="00E33400">
        <w:t xml:space="preserve">2014 through to </w:t>
      </w:r>
      <w:r>
        <w:t>September</w:t>
      </w:r>
      <w:r w:rsidR="00E33400">
        <w:t xml:space="preserve"> 201</w:t>
      </w:r>
      <w:r>
        <w:t>4</w:t>
      </w:r>
      <w:r w:rsidR="00E33400">
        <w:t xml:space="preserve"> is </w:t>
      </w:r>
      <w:r w:rsidR="00C81C35">
        <w:t>taken from the June 2015 edition.</w:t>
      </w:r>
      <w:r w:rsidR="00C81C35" w:rsidRPr="00C81C35">
        <w:t xml:space="preserve"> </w:t>
      </w:r>
      <w:r w:rsidR="00C81C35">
        <w:t xml:space="preserve">Note, </w:t>
      </w:r>
      <w:r w:rsidR="000478B3">
        <w:t>data for the most recent 9 month period, from July 201</w:t>
      </w:r>
      <w:r w:rsidR="00584667">
        <w:t>7</w:t>
      </w:r>
      <w:r w:rsidR="000478B3">
        <w:t xml:space="preserve"> through to March 201</w:t>
      </w:r>
      <w:r w:rsidR="00584667">
        <w:t>8</w:t>
      </w:r>
      <w:r w:rsidR="000478B3">
        <w:t>, may be revised in subsequent editions of the health system dashboard.</w:t>
      </w:r>
    </w:p>
    <w:p w:rsidR="000478B3" w:rsidRDefault="000478B3" w:rsidP="002C21A4">
      <w:r>
        <w:t>There are 340 indicators in the dataset</w:t>
      </w:r>
      <w:r w:rsidR="003A0229">
        <w:t xml:space="preserve"> and </w:t>
      </w:r>
      <w:r w:rsidR="00584667">
        <w:t>45</w:t>
      </w:r>
      <w:r w:rsidR="009F79F5">
        <w:t xml:space="preserve"> months in the dataset. </w:t>
      </w:r>
      <w:r w:rsidR="003A0229">
        <w:t>For a variety of reasons, s</w:t>
      </w:r>
      <w:r w:rsidR="009F79F5">
        <w:t xml:space="preserve">ome indicators do not have values for some months. </w:t>
      </w:r>
      <w:r w:rsidR="003A0229">
        <w:t>However, the dataset is constructed to include a data row for every month for every indicator. That is, the dataset contains 1 header row and 1</w:t>
      </w:r>
      <w:r w:rsidR="004653EC">
        <w:t>5</w:t>
      </w:r>
      <w:r w:rsidR="003A0229">
        <w:t xml:space="preserve"> </w:t>
      </w:r>
      <w:r w:rsidR="004653EC">
        <w:t>30</w:t>
      </w:r>
      <w:r w:rsidR="003A0229">
        <w:t xml:space="preserve">0 data rows (equivalent to 340 indicators x </w:t>
      </w:r>
      <w:r w:rsidR="004653EC">
        <w:t>45</w:t>
      </w:r>
      <w:r w:rsidR="003A0229">
        <w:t xml:space="preserve"> months). Where an indicator does not have a value for a particular month, the relevant value in the dataset is left blank</w:t>
      </w:r>
      <w:r w:rsidR="004653EC">
        <w:t xml:space="preserve"> (null)</w:t>
      </w:r>
      <w:r w:rsidR="003A0229">
        <w:t>.</w:t>
      </w:r>
    </w:p>
    <w:p w:rsidR="000478B3" w:rsidRDefault="003A0229" w:rsidP="002C21A4">
      <w:r>
        <w:lastRenderedPageBreak/>
        <w:t>HEADER ROW</w:t>
      </w:r>
    </w:p>
    <w:p w:rsidR="000478B3" w:rsidRDefault="003A0229" w:rsidP="002C21A4">
      <w:r>
        <w:t>There are 9 columns of data in the dataset.</w:t>
      </w:r>
    </w:p>
    <w:p w:rsidR="003A0229" w:rsidRDefault="003A0229" w:rsidP="003A0229"/>
    <w:tbl>
      <w:tblPr>
        <w:tblStyle w:val="TableGrid"/>
        <w:tblW w:w="9288" w:type="dxa"/>
        <w:tblLayout w:type="fixed"/>
        <w:tblLook w:val="04A0" w:firstRow="1" w:lastRow="0" w:firstColumn="1" w:lastColumn="0" w:noHBand="0" w:noVBand="1"/>
      </w:tblPr>
      <w:tblGrid>
        <w:gridCol w:w="3510"/>
        <w:gridCol w:w="5778"/>
      </w:tblGrid>
      <w:tr w:rsidR="008E2320" w:rsidRPr="008C44D7" w:rsidTr="008E2320">
        <w:trPr>
          <w:cantSplit/>
          <w:tblHeader/>
        </w:trPr>
        <w:tc>
          <w:tcPr>
            <w:tcW w:w="3510" w:type="dxa"/>
            <w:shd w:val="clear" w:color="auto" w:fill="D9D9D9" w:themeFill="background1" w:themeFillShade="D9"/>
          </w:tcPr>
          <w:p w:rsidR="008E2320" w:rsidRPr="008C44D7" w:rsidRDefault="008E2320" w:rsidP="008E2320">
            <w:pPr>
              <w:spacing w:before="120" w:after="120"/>
            </w:pPr>
            <w:r>
              <w:t>Header row title</w:t>
            </w:r>
          </w:p>
        </w:tc>
        <w:tc>
          <w:tcPr>
            <w:tcW w:w="5778" w:type="dxa"/>
            <w:shd w:val="clear" w:color="auto" w:fill="D9D9D9" w:themeFill="background1" w:themeFillShade="D9"/>
          </w:tcPr>
          <w:p w:rsidR="008E2320" w:rsidRPr="008C44D7" w:rsidRDefault="008E2320" w:rsidP="008E2320">
            <w:pPr>
              <w:spacing w:before="120" w:after="120"/>
            </w:pPr>
            <w:r>
              <w:t>Description</w:t>
            </w:r>
          </w:p>
        </w:tc>
      </w:tr>
      <w:tr w:rsidR="003A0229" w:rsidRPr="008C44D7" w:rsidTr="003A0229">
        <w:tc>
          <w:tcPr>
            <w:tcW w:w="3510" w:type="dxa"/>
          </w:tcPr>
          <w:p w:rsidR="003A0229" w:rsidRPr="008C44D7" w:rsidRDefault="003A0229" w:rsidP="003A2456">
            <w:r>
              <w:t>Identifier</w:t>
            </w:r>
          </w:p>
        </w:tc>
        <w:tc>
          <w:tcPr>
            <w:tcW w:w="5778" w:type="dxa"/>
          </w:tcPr>
          <w:p w:rsidR="003A0229" w:rsidRDefault="00DC352B" w:rsidP="003A2456">
            <w:r>
              <w:t>A unique identifier for each indicator.</w:t>
            </w:r>
          </w:p>
          <w:p w:rsidR="00DC352B" w:rsidRPr="008C44D7" w:rsidRDefault="00DC352B" w:rsidP="0047791B">
            <w:r>
              <w:t xml:space="preserve">The identifier is an </w:t>
            </w:r>
            <w:r w:rsidR="006A29FC">
              <w:t xml:space="preserve">8-digit number compiled </w:t>
            </w:r>
            <w:r w:rsidR="00120B91">
              <w:t>as a concatenation of four</w:t>
            </w:r>
            <w:r w:rsidR="00827CC6">
              <w:t xml:space="preserve"> 2-digit codes</w:t>
            </w:r>
            <w:r w:rsidR="00120B91">
              <w:t xml:space="preserve"> representing </w:t>
            </w:r>
            <w:r>
              <w:t>Subject, Title, Category and Location.</w:t>
            </w:r>
            <w:r w:rsidR="0047791B">
              <w:t xml:space="preserve"> </w:t>
            </w:r>
            <w:r w:rsidR="00482AF6">
              <w:t>The order of components aligns with the presentation of the health system dashboard on the HealthStats website.</w:t>
            </w:r>
          </w:p>
        </w:tc>
      </w:tr>
      <w:tr w:rsidR="003A0229" w:rsidRPr="008C44D7" w:rsidTr="003A0229">
        <w:tc>
          <w:tcPr>
            <w:tcW w:w="3510" w:type="dxa"/>
          </w:tcPr>
          <w:p w:rsidR="003A0229" w:rsidRPr="008C44D7" w:rsidRDefault="003A0229" w:rsidP="003A2456">
            <w:r>
              <w:t>Subject</w:t>
            </w:r>
          </w:p>
        </w:tc>
        <w:tc>
          <w:tcPr>
            <w:tcW w:w="5778" w:type="dxa"/>
          </w:tcPr>
          <w:p w:rsidR="0016284D" w:rsidRPr="008C44D7" w:rsidRDefault="0016284D" w:rsidP="0016284D">
            <w:r>
              <w:t>The subject area for the indicator.</w:t>
            </w:r>
          </w:p>
        </w:tc>
      </w:tr>
      <w:tr w:rsidR="003A0229" w:rsidRPr="008C44D7" w:rsidTr="003A0229">
        <w:tc>
          <w:tcPr>
            <w:tcW w:w="3510" w:type="dxa"/>
          </w:tcPr>
          <w:p w:rsidR="003A0229" w:rsidRPr="008C44D7" w:rsidRDefault="003A0229" w:rsidP="003A2456">
            <w:r>
              <w:t>Title</w:t>
            </w:r>
          </w:p>
        </w:tc>
        <w:tc>
          <w:tcPr>
            <w:tcW w:w="5778" w:type="dxa"/>
          </w:tcPr>
          <w:p w:rsidR="003A0229" w:rsidRPr="008C44D7" w:rsidRDefault="0016284D" w:rsidP="003A2456">
            <w:r>
              <w:t>The short title for the indicator.</w:t>
            </w:r>
          </w:p>
        </w:tc>
      </w:tr>
      <w:tr w:rsidR="003A0229" w:rsidRPr="008C44D7" w:rsidTr="003A0229">
        <w:tc>
          <w:tcPr>
            <w:tcW w:w="3510" w:type="dxa"/>
          </w:tcPr>
          <w:p w:rsidR="003A0229" w:rsidRPr="008C44D7" w:rsidRDefault="003A0229" w:rsidP="003A2456">
            <w:r>
              <w:t>Category</w:t>
            </w:r>
          </w:p>
        </w:tc>
        <w:tc>
          <w:tcPr>
            <w:tcW w:w="5778" w:type="dxa"/>
          </w:tcPr>
          <w:p w:rsidR="00CB7EAD" w:rsidRPr="008C44D7" w:rsidRDefault="0016284D" w:rsidP="00CB7EAD">
            <w:r>
              <w:t xml:space="preserve">A short title for </w:t>
            </w:r>
            <w:r w:rsidR="00764224">
              <w:t xml:space="preserve">any </w:t>
            </w:r>
            <w:r>
              <w:t>disaggregation by category.</w:t>
            </w:r>
            <w:r w:rsidR="00CB7EAD">
              <w:t xml:space="preserve"> </w:t>
            </w:r>
          </w:p>
        </w:tc>
      </w:tr>
      <w:tr w:rsidR="003A0229" w:rsidRPr="008C44D7" w:rsidTr="003A0229">
        <w:tc>
          <w:tcPr>
            <w:tcW w:w="3510" w:type="dxa"/>
          </w:tcPr>
          <w:p w:rsidR="003A0229" w:rsidRPr="008C44D7" w:rsidRDefault="003A0229" w:rsidP="003A2456">
            <w:r>
              <w:t>Location</w:t>
            </w:r>
          </w:p>
        </w:tc>
        <w:tc>
          <w:tcPr>
            <w:tcW w:w="5778" w:type="dxa"/>
          </w:tcPr>
          <w:p w:rsidR="003A0229" w:rsidRDefault="0016284D" w:rsidP="0016284D">
            <w:r>
              <w:t xml:space="preserve">A short title for </w:t>
            </w:r>
            <w:r w:rsidR="00764224">
              <w:t xml:space="preserve">any </w:t>
            </w:r>
            <w:r>
              <w:t>disaggregation by location.</w:t>
            </w:r>
          </w:p>
          <w:p w:rsidR="0016284D" w:rsidRDefault="0016284D" w:rsidP="00CB7EAD">
            <w:pPr>
              <w:ind w:left="284"/>
            </w:pPr>
            <w:r>
              <w:t>All = no disaggregation</w:t>
            </w:r>
          </w:p>
          <w:p w:rsidR="0016284D" w:rsidRDefault="00CB7EAD" w:rsidP="00CB7EAD">
            <w:pPr>
              <w:ind w:left="284"/>
            </w:pPr>
            <w:r>
              <w:t>LGH = Launceston General Hospital</w:t>
            </w:r>
          </w:p>
          <w:p w:rsidR="00CB7EAD" w:rsidRDefault="00CB7EAD" w:rsidP="00CB7EAD">
            <w:pPr>
              <w:ind w:left="284"/>
            </w:pPr>
            <w:r>
              <w:t>MCH = Mersey Community Hospital</w:t>
            </w:r>
          </w:p>
          <w:p w:rsidR="00CB7EAD" w:rsidRDefault="00CB7EAD" w:rsidP="00CB7EAD">
            <w:pPr>
              <w:ind w:left="284"/>
            </w:pPr>
            <w:r>
              <w:t>NWRH = North West Regional Hospital</w:t>
            </w:r>
          </w:p>
          <w:p w:rsidR="00CB7EAD" w:rsidRDefault="00CB7EAD" w:rsidP="00CB7EAD">
            <w:pPr>
              <w:ind w:left="284"/>
            </w:pPr>
            <w:r>
              <w:t>RHH = Royal Hobart Hospital</w:t>
            </w:r>
          </w:p>
          <w:p w:rsidR="00CB7EAD" w:rsidRDefault="00CB7EAD" w:rsidP="00CB7EAD">
            <w:pPr>
              <w:ind w:left="284"/>
            </w:pPr>
            <w:r>
              <w:t>Major Hospitals = LGH, MCH, NWRH and RHH</w:t>
            </w:r>
          </w:p>
          <w:p w:rsidR="00CB7EAD" w:rsidRPr="008C44D7" w:rsidRDefault="00CB7EAD" w:rsidP="00CB7EAD">
            <w:pPr>
              <w:ind w:left="284"/>
            </w:pPr>
            <w:r>
              <w:t>Statewide = LGH, MCH, NWRH and RHH</w:t>
            </w:r>
          </w:p>
        </w:tc>
      </w:tr>
      <w:tr w:rsidR="003A0229" w:rsidRPr="008C44D7" w:rsidTr="003A0229">
        <w:tc>
          <w:tcPr>
            <w:tcW w:w="3510" w:type="dxa"/>
          </w:tcPr>
          <w:p w:rsidR="003A0229" w:rsidRPr="008C44D7" w:rsidRDefault="003A0229" w:rsidP="003A2456">
            <w:r>
              <w:t>Units</w:t>
            </w:r>
          </w:p>
        </w:tc>
        <w:tc>
          <w:tcPr>
            <w:tcW w:w="5778" w:type="dxa"/>
          </w:tcPr>
          <w:p w:rsidR="003A0229" w:rsidRDefault="00CB7EAD" w:rsidP="003A2456">
            <w:r>
              <w:t>The units in which the value is expressed.</w:t>
            </w:r>
          </w:p>
          <w:p w:rsidR="00CB7EAD" w:rsidRDefault="00CB7EAD" w:rsidP="00CB7EAD">
            <w:pPr>
              <w:ind w:left="284"/>
            </w:pPr>
            <w:r>
              <w:t>% = percentage (range from 0 to 100)</w:t>
            </w:r>
          </w:p>
          <w:p w:rsidR="00CB7EAD" w:rsidRDefault="00CB7EAD" w:rsidP="00CB7EAD">
            <w:pPr>
              <w:ind w:left="284"/>
            </w:pPr>
            <w:r>
              <w:t>days</w:t>
            </w:r>
            <w:r w:rsidR="00C35605">
              <w:t xml:space="preserve"> = number of days</w:t>
            </w:r>
          </w:p>
          <w:p w:rsidR="00CB7EAD" w:rsidRDefault="00CB7EAD" w:rsidP="00CB7EAD">
            <w:pPr>
              <w:ind w:left="284"/>
            </w:pPr>
            <w:r>
              <w:t>minutes</w:t>
            </w:r>
            <w:r w:rsidR="00C35605">
              <w:t xml:space="preserve"> = number of minutes</w:t>
            </w:r>
          </w:p>
          <w:p w:rsidR="00CB7EAD" w:rsidRPr="008C44D7" w:rsidRDefault="00CB7EAD" w:rsidP="00C35605">
            <w:pPr>
              <w:ind w:left="284"/>
            </w:pPr>
            <w:r>
              <w:t xml:space="preserve">No. = </w:t>
            </w:r>
            <w:r w:rsidR="00C35605">
              <w:t>Number (count as per indicator title)</w:t>
            </w:r>
          </w:p>
        </w:tc>
      </w:tr>
      <w:tr w:rsidR="003A0229" w:rsidRPr="008C44D7" w:rsidTr="003A0229">
        <w:tc>
          <w:tcPr>
            <w:tcW w:w="3510" w:type="dxa"/>
          </w:tcPr>
          <w:p w:rsidR="003A0229" w:rsidRPr="008C44D7" w:rsidRDefault="003A0229" w:rsidP="004653EC">
            <w:pPr>
              <w:pageBreakBefore/>
            </w:pPr>
            <w:r>
              <w:lastRenderedPageBreak/>
              <w:t>ReferencePeriodStart</w:t>
            </w:r>
          </w:p>
        </w:tc>
        <w:tc>
          <w:tcPr>
            <w:tcW w:w="5778" w:type="dxa"/>
          </w:tcPr>
          <w:p w:rsidR="00C35605" w:rsidRPr="008C44D7" w:rsidRDefault="00C35605" w:rsidP="004653EC">
            <w:pPr>
              <w:pageBreakBefore/>
            </w:pPr>
            <w:r>
              <w:t xml:space="preserve">The </w:t>
            </w:r>
            <w:r w:rsidR="00400E48">
              <w:t xml:space="preserve">date of the </w:t>
            </w:r>
            <w:r>
              <w:t xml:space="preserve">start </w:t>
            </w:r>
            <w:r w:rsidR="00400E48">
              <w:t>of</w:t>
            </w:r>
            <w:r>
              <w:t xml:space="preserve"> the reference period.</w:t>
            </w:r>
          </w:p>
        </w:tc>
      </w:tr>
      <w:tr w:rsidR="003A0229" w:rsidRPr="008C44D7" w:rsidTr="003A0229">
        <w:tc>
          <w:tcPr>
            <w:tcW w:w="3510" w:type="dxa"/>
          </w:tcPr>
          <w:p w:rsidR="003A0229" w:rsidRPr="008C44D7" w:rsidRDefault="003A0229" w:rsidP="003A2456">
            <w:r>
              <w:t>ReferencePeriodEnd</w:t>
            </w:r>
          </w:p>
        </w:tc>
        <w:tc>
          <w:tcPr>
            <w:tcW w:w="5778" w:type="dxa"/>
          </w:tcPr>
          <w:p w:rsidR="003A0229" w:rsidRDefault="00C35605" w:rsidP="003A2456">
            <w:r>
              <w:t xml:space="preserve">The </w:t>
            </w:r>
            <w:r w:rsidR="00400E48">
              <w:t xml:space="preserve">date of the </w:t>
            </w:r>
            <w:r>
              <w:t xml:space="preserve">end </w:t>
            </w:r>
            <w:r w:rsidR="00400E48">
              <w:t>of</w:t>
            </w:r>
            <w:r>
              <w:t xml:space="preserve"> the reference period.</w:t>
            </w:r>
          </w:p>
          <w:p w:rsidR="009C129E" w:rsidRDefault="009C129E" w:rsidP="003A2456">
            <w:r>
              <w:t xml:space="preserve">The month and year of the end of the reference period are typically used to designate the reference period. See the </w:t>
            </w:r>
            <w:r w:rsidR="005E3666">
              <w:t>health system dashboard on the HealthStats website</w:t>
            </w:r>
            <w:r w:rsidR="006A2385">
              <w:t xml:space="preserve"> for appropriate usage</w:t>
            </w:r>
            <w:r w:rsidR="005E3666">
              <w:t>.</w:t>
            </w:r>
          </w:p>
          <w:p w:rsidR="006126B7" w:rsidRDefault="00C35605" w:rsidP="003A2456">
            <w:r>
              <w:t xml:space="preserve">The reference period </w:t>
            </w:r>
            <w:r w:rsidR="006126B7">
              <w:t xml:space="preserve">is the </w:t>
            </w:r>
            <w:r w:rsidR="00DA13AE">
              <w:t>specific</w:t>
            </w:r>
            <w:r w:rsidR="00400E48">
              <w:t xml:space="preserve"> </w:t>
            </w:r>
            <w:r w:rsidR="006126B7">
              <w:t xml:space="preserve">period of time </w:t>
            </w:r>
            <w:r w:rsidR="00DA13AE">
              <w:t xml:space="preserve">(such as a month) </w:t>
            </w:r>
            <w:r w:rsidR="006126B7">
              <w:t xml:space="preserve">relevant to </w:t>
            </w:r>
            <w:r w:rsidR="00DA13AE">
              <w:t>an</w:t>
            </w:r>
            <w:r w:rsidR="006126B7">
              <w:t xml:space="preserve"> indicator</w:t>
            </w:r>
            <w:r w:rsidR="00400E48">
              <w:t xml:space="preserve"> value. There are three broad methods of construction for the indicators included in the dataset.</w:t>
            </w:r>
          </w:p>
          <w:p w:rsidR="00400E48" w:rsidRDefault="00400E48" w:rsidP="00400E48">
            <w:pPr>
              <w:ind w:left="284"/>
            </w:pPr>
            <w:r>
              <w:t xml:space="preserve">As at the end of </w:t>
            </w:r>
            <w:r w:rsidR="00682913">
              <w:t>this</w:t>
            </w:r>
            <w:r>
              <w:t xml:space="preserve"> month, where a census is taken on the last day of the month. The start </w:t>
            </w:r>
            <w:r w:rsidR="00DA13AE">
              <w:t xml:space="preserve">of the reference period </w:t>
            </w:r>
            <w:r>
              <w:t xml:space="preserve">and </w:t>
            </w:r>
            <w:r w:rsidR="00DA13AE">
              <w:t xml:space="preserve">the </w:t>
            </w:r>
            <w:r>
              <w:t xml:space="preserve">end of the reference period are both the last day of the month. This method applies to stock variables, such as </w:t>
            </w:r>
            <w:r w:rsidR="00625B59">
              <w:t>the number of people on a</w:t>
            </w:r>
            <w:r>
              <w:t xml:space="preserve"> waiting list.</w:t>
            </w:r>
          </w:p>
          <w:p w:rsidR="00400E48" w:rsidRDefault="00400E48" w:rsidP="00400E48">
            <w:pPr>
              <w:ind w:left="284"/>
            </w:pPr>
            <w:r>
              <w:t xml:space="preserve">For </w:t>
            </w:r>
            <w:r w:rsidR="00682913">
              <w:t>this</w:t>
            </w:r>
            <w:r>
              <w:t xml:space="preserve"> month</w:t>
            </w:r>
            <w:r w:rsidR="00682913">
              <w:t xml:space="preserve"> (monthly)</w:t>
            </w:r>
            <w:r>
              <w:t xml:space="preserve">, where all of the events occurring from the beginning of the month </w:t>
            </w:r>
            <w:r w:rsidR="00682913">
              <w:t xml:space="preserve">through </w:t>
            </w:r>
            <w:r>
              <w:t xml:space="preserve">to the end of the month are </w:t>
            </w:r>
            <w:r w:rsidR="00682913">
              <w:t>in scope</w:t>
            </w:r>
            <w:r>
              <w:t xml:space="preserve">. The start of the reference period is the first day of the month and the end of the reference period </w:t>
            </w:r>
            <w:r w:rsidR="00682913">
              <w:t>is the last day of the month. This method applies to flow variables, such as monthly emergency department presentations.</w:t>
            </w:r>
          </w:p>
          <w:p w:rsidR="00C35605" w:rsidRPr="008C44D7" w:rsidRDefault="00682913" w:rsidP="00DA14CC">
            <w:pPr>
              <w:ind w:left="284"/>
            </w:pPr>
            <w:r>
              <w:t>For the 12 months to this month, where all of the events occurring from the beginning of the 12 month period through to the end of the current month are in scope. The start of the reference period is the first day of the month</w:t>
            </w:r>
            <w:r w:rsidR="00DF6314">
              <w:t>, from</w:t>
            </w:r>
            <w:r>
              <w:t xml:space="preserve"> eleven months prior</w:t>
            </w:r>
            <w:r w:rsidR="00DF6314">
              <w:t>,</w:t>
            </w:r>
            <w:r>
              <w:t xml:space="preserve"> and the end of the reference period is the last day of the month. This will be a period of 365 days, or 366 days where February has 29 days. This method applies to flow variables, such as </w:t>
            </w:r>
            <w:r w:rsidR="00DA14CC">
              <w:t>elective surgery disaggregations presented over 12 months.</w:t>
            </w:r>
          </w:p>
        </w:tc>
      </w:tr>
      <w:tr w:rsidR="003A0229" w:rsidRPr="008C44D7" w:rsidTr="003A0229">
        <w:tc>
          <w:tcPr>
            <w:tcW w:w="3510" w:type="dxa"/>
          </w:tcPr>
          <w:p w:rsidR="003A0229" w:rsidRPr="008C44D7" w:rsidRDefault="003A0229" w:rsidP="003A2456">
            <w:r>
              <w:t>Value</w:t>
            </w:r>
          </w:p>
        </w:tc>
        <w:tc>
          <w:tcPr>
            <w:tcW w:w="5778" w:type="dxa"/>
          </w:tcPr>
          <w:p w:rsidR="003A0229" w:rsidRDefault="00C35605" w:rsidP="00C35605">
            <w:r>
              <w:t>The value of the indicator for the reference period.</w:t>
            </w:r>
          </w:p>
          <w:p w:rsidR="0047791B" w:rsidRPr="008C44D7" w:rsidRDefault="0047791B" w:rsidP="006E48D1">
            <w:r>
              <w:t xml:space="preserve">Note, a null (empty/blank) value is used where the value is not applicable, or missing or equal to zero. </w:t>
            </w:r>
            <w:r w:rsidR="006E48D1">
              <w:t>Context</w:t>
            </w:r>
            <w:r>
              <w:t xml:space="preserve"> available on the HealthStats website (</w:t>
            </w:r>
            <w:hyperlink r:id="rId7" w:history="1">
              <w:r w:rsidRPr="00C91102">
                <w:rPr>
                  <w:rStyle w:val="Hyperlink"/>
                </w:rPr>
                <w:t>https://www.healthstats.dhhs.tas.gov.au</w:t>
              </w:r>
            </w:hyperlink>
            <w:r>
              <w:t xml:space="preserve">) </w:t>
            </w:r>
            <w:r w:rsidR="006E48D1">
              <w:t>may assist to differentiate between null categories.</w:t>
            </w:r>
          </w:p>
        </w:tc>
      </w:tr>
    </w:tbl>
    <w:p w:rsidR="003A0229" w:rsidRDefault="00221B37" w:rsidP="004653EC">
      <w:pPr>
        <w:pageBreakBefore/>
      </w:pPr>
      <w:r>
        <w:lastRenderedPageBreak/>
        <w:t>INDICATOR DESCRIPTIONS</w:t>
      </w:r>
      <w:r w:rsidR="009C14AB">
        <w:t xml:space="preserve"> AND CAVEATS</w:t>
      </w:r>
    </w:p>
    <w:p w:rsidR="003A0229" w:rsidRDefault="00221B37" w:rsidP="002C21A4">
      <w:r>
        <w:t>Indicator</w:t>
      </w:r>
      <w:r w:rsidR="00DC0E5D">
        <w:t>s are described</w:t>
      </w:r>
      <w:r>
        <w:t xml:space="preserve"> on the relevant breakout page</w:t>
      </w:r>
      <w:r w:rsidR="00DC0E5D">
        <w:t>s</w:t>
      </w:r>
      <w:r>
        <w:t xml:space="preserve"> on the HealthStats website </w:t>
      </w:r>
      <w:r w:rsidR="00121421">
        <w:t>(</w:t>
      </w:r>
      <w:hyperlink r:id="rId8" w:history="1">
        <w:r w:rsidR="00121421" w:rsidRPr="00C91102">
          <w:rPr>
            <w:rStyle w:val="Hyperlink"/>
          </w:rPr>
          <w:t>https://www.healthstats.dhhs.tas.gov.au</w:t>
        </w:r>
      </w:hyperlink>
      <w:r w:rsidR="00121421">
        <w:t xml:space="preserve">). </w:t>
      </w:r>
      <w:r w:rsidR="00DC0E5D">
        <w:t xml:space="preserve">Select the relevant Subject tile to display the default breakout page and navigate to the relevant tab if necessary. Indicators are described in the brief text above the table and in the </w:t>
      </w:r>
      <w:r w:rsidR="00DC0E5D" w:rsidRPr="00DC0E5D">
        <w:rPr>
          <w:i/>
        </w:rPr>
        <w:t>about the measure</w:t>
      </w:r>
      <w:r w:rsidR="00DC0E5D">
        <w:t xml:space="preserve"> section below the table.</w:t>
      </w:r>
    </w:p>
    <w:p w:rsidR="00DC0E5D" w:rsidRDefault="0033232D" w:rsidP="00DC0E5D">
      <w:r>
        <w:t>Notes on i</w:t>
      </w:r>
      <w:r w:rsidR="00DC0E5D">
        <w:t>ndicators</w:t>
      </w:r>
      <w:r>
        <w:t>, including caveats,</w:t>
      </w:r>
      <w:r w:rsidR="00DC0E5D">
        <w:t xml:space="preserve"> are </w:t>
      </w:r>
      <w:r>
        <w:t xml:space="preserve">included </w:t>
      </w:r>
      <w:r w:rsidR="00DC0E5D">
        <w:t>on the relevant breakout pages on the HealthStats website</w:t>
      </w:r>
      <w:r w:rsidR="00145D29">
        <w:t>. Note, caveats are only included</w:t>
      </w:r>
      <w:r w:rsidR="00DC0E5D">
        <w:t xml:space="preserve"> </w:t>
      </w:r>
      <w:r w:rsidR="00145D29">
        <w:t>if</w:t>
      </w:r>
      <w:r>
        <w:t xml:space="preserve"> they are relevant to the current edition of the health system dashboard</w:t>
      </w:r>
      <w:r w:rsidR="00DC0E5D">
        <w:t xml:space="preserve">. </w:t>
      </w:r>
      <w:r w:rsidR="00145D29">
        <w:t>N</w:t>
      </w:r>
      <w:r>
        <w:t xml:space="preserve">otes </w:t>
      </w:r>
      <w:r w:rsidR="00145D29">
        <w:t xml:space="preserve">and caveats may be included </w:t>
      </w:r>
      <w:r w:rsidR="00DC0E5D">
        <w:t xml:space="preserve">in the </w:t>
      </w:r>
      <w:r w:rsidR="00DC0E5D" w:rsidRPr="00DC0E5D">
        <w:rPr>
          <w:i/>
        </w:rPr>
        <w:t>about the measure</w:t>
      </w:r>
      <w:r w:rsidR="00DC0E5D">
        <w:t xml:space="preserve"> section </w:t>
      </w:r>
      <w:r>
        <w:t xml:space="preserve">or the </w:t>
      </w:r>
      <w:r w:rsidRPr="00DC0E5D">
        <w:rPr>
          <w:i/>
        </w:rPr>
        <w:t xml:space="preserve">about the </w:t>
      </w:r>
      <w:r>
        <w:rPr>
          <w:i/>
        </w:rPr>
        <w:t xml:space="preserve">data </w:t>
      </w:r>
      <w:r>
        <w:t xml:space="preserve">section </w:t>
      </w:r>
      <w:r w:rsidR="00DC0E5D">
        <w:t>below the table.</w:t>
      </w:r>
    </w:p>
    <w:p w:rsidR="00DC0E5D" w:rsidRDefault="009C14AB" w:rsidP="002C21A4">
      <w:r w:rsidRPr="00B70EED">
        <w:t>The following indicator description and caveat information is from the March 201</w:t>
      </w:r>
      <w:r w:rsidR="00121421" w:rsidRPr="00B70EED">
        <w:t>8</w:t>
      </w:r>
      <w:r w:rsidRPr="00B70EED">
        <w:t xml:space="preserve"> edition, or earlier editions, of the health system dashboard. It is reproduced here because it applies to a particular point in time and this information is either no longer available on the HealthStats website, or is likely to become unavailable in the future.</w:t>
      </w:r>
    </w:p>
    <w:p w:rsidR="00DC0E5D" w:rsidRDefault="00DC0E5D" w:rsidP="00DC0E5D"/>
    <w:tbl>
      <w:tblPr>
        <w:tblStyle w:val="TableGrid"/>
        <w:tblW w:w="9288" w:type="dxa"/>
        <w:tblLayout w:type="fixed"/>
        <w:tblLook w:val="04A0" w:firstRow="1" w:lastRow="0" w:firstColumn="1" w:lastColumn="0" w:noHBand="0" w:noVBand="1"/>
      </w:tblPr>
      <w:tblGrid>
        <w:gridCol w:w="3510"/>
        <w:gridCol w:w="5778"/>
      </w:tblGrid>
      <w:tr w:rsidR="00DC0E5D" w:rsidRPr="008C44D7" w:rsidTr="00593541">
        <w:trPr>
          <w:cantSplit/>
          <w:tblHeader/>
        </w:trPr>
        <w:tc>
          <w:tcPr>
            <w:tcW w:w="3510" w:type="dxa"/>
            <w:shd w:val="clear" w:color="auto" w:fill="D9D9D9" w:themeFill="background1" w:themeFillShade="D9"/>
          </w:tcPr>
          <w:p w:rsidR="00DC0E5D" w:rsidRPr="008C44D7" w:rsidRDefault="005A46F2" w:rsidP="00C66197">
            <w:pPr>
              <w:spacing w:before="120" w:after="120"/>
            </w:pPr>
            <w:r>
              <w:t>Indicator</w:t>
            </w:r>
            <w:r w:rsidR="00B57E0F">
              <w:t xml:space="preserve"> [identifier component]</w:t>
            </w:r>
          </w:p>
        </w:tc>
        <w:tc>
          <w:tcPr>
            <w:tcW w:w="5778" w:type="dxa"/>
            <w:shd w:val="clear" w:color="auto" w:fill="D9D9D9" w:themeFill="background1" w:themeFillShade="D9"/>
          </w:tcPr>
          <w:p w:rsidR="00DC0E5D" w:rsidRPr="008C44D7" w:rsidRDefault="005A46F2" w:rsidP="00C66197">
            <w:pPr>
              <w:spacing w:before="120" w:after="120"/>
            </w:pPr>
            <w:r>
              <w:t>Description and caveat</w:t>
            </w:r>
          </w:p>
        </w:tc>
      </w:tr>
      <w:tr w:rsidR="0039374F" w:rsidRPr="008C44D7" w:rsidTr="009A20EE">
        <w:trPr>
          <w:cantSplit/>
        </w:trPr>
        <w:tc>
          <w:tcPr>
            <w:tcW w:w="3510" w:type="dxa"/>
          </w:tcPr>
          <w:p w:rsidR="0039374F" w:rsidRDefault="00821525" w:rsidP="001B257D">
            <w:r>
              <w:t>Elective surgery [08]</w:t>
            </w:r>
          </w:p>
          <w:p w:rsidR="00821525" w:rsidRDefault="00821525" w:rsidP="00821525">
            <w:pPr>
              <w:ind w:left="284"/>
            </w:pPr>
            <w:r w:rsidRPr="00821525">
              <w:t>Admitted median waiting time</w:t>
            </w:r>
            <w:r>
              <w:t xml:space="preserve"> for </w:t>
            </w:r>
            <w:r w:rsidRPr="00821525">
              <w:t>Myringotomy</w:t>
            </w:r>
            <w:r>
              <w:t xml:space="preserve"> [080109]</w:t>
            </w:r>
          </w:p>
          <w:p w:rsidR="00821525" w:rsidRPr="008C44D7" w:rsidRDefault="00821525" w:rsidP="00821525">
            <w:pPr>
              <w:ind w:left="284"/>
            </w:pPr>
            <w:r w:rsidRPr="00821525">
              <w:t>Admitted median waiting time</w:t>
            </w:r>
            <w:r>
              <w:t xml:space="preserve"> for Other [080116]</w:t>
            </w:r>
          </w:p>
        </w:tc>
        <w:tc>
          <w:tcPr>
            <w:tcW w:w="5778" w:type="dxa"/>
          </w:tcPr>
          <w:p w:rsidR="0039374F" w:rsidRPr="008C44D7" w:rsidRDefault="00821525" w:rsidP="00821525">
            <w:r w:rsidRPr="00821525">
              <w:t>Myringotomy</w:t>
            </w:r>
            <w:r>
              <w:t xml:space="preserve"> is not separately reported after the 12 months to March 2017 and is instead included within the Other category.</w:t>
            </w:r>
          </w:p>
        </w:tc>
      </w:tr>
      <w:tr w:rsidR="0039374F" w:rsidRPr="008C44D7" w:rsidTr="009A20EE">
        <w:trPr>
          <w:cantSplit/>
        </w:trPr>
        <w:tc>
          <w:tcPr>
            <w:tcW w:w="3510" w:type="dxa"/>
          </w:tcPr>
          <w:p w:rsidR="0039374F" w:rsidRDefault="0039374F" w:rsidP="001B257D">
            <w:r w:rsidRPr="00B57E0F">
              <w:t>Ambulances</w:t>
            </w:r>
            <w:r>
              <w:t xml:space="preserve"> [12]</w:t>
            </w:r>
          </w:p>
          <w:p w:rsidR="0039374F" w:rsidRDefault="0039374F" w:rsidP="009A20EE">
            <w:pPr>
              <w:ind w:left="284"/>
            </w:pPr>
            <w:r>
              <w:t>Median response time [1201]</w:t>
            </w:r>
          </w:p>
          <w:p w:rsidR="0039374F" w:rsidRDefault="0039374F" w:rsidP="009A20EE">
            <w:pPr>
              <w:ind w:left="284"/>
            </w:pPr>
            <w:r>
              <w:t>Incidents [1202]</w:t>
            </w:r>
          </w:p>
          <w:p w:rsidR="0039374F" w:rsidRPr="008C44D7" w:rsidRDefault="0039374F" w:rsidP="009A20EE">
            <w:pPr>
              <w:ind w:left="284"/>
            </w:pPr>
            <w:r>
              <w:t>Dispatches [1203]</w:t>
            </w:r>
          </w:p>
        </w:tc>
        <w:tc>
          <w:tcPr>
            <w:tcW w:w="5778" w:type="dxa"/>
          </w:tcPr>
          <w:p w:rsidR="0039374F" w:rsidRPr="008C44D7" w:rsidRDefault="0039374F" w:rsidP="009A20EE">
            <w:r w:rsidRPr="00B57E0F">
              <w:rPr>
                <w:i/>
                <w:iCs/>
              </w:rPr>
              <w:t>About the data</w:t>
            </w:r>
            <w:r w:rsidRPr="00B57E0F">
              <w:t>: A new computer aided dispatch system was implemented in August 2016. At the same time changes were made to Ambulance Tasmania State Operations Centre workflows and practices. Because of these changes data from August 2016 onwards is not directly comparable with historical data</w:t>
            </w:r>
            <w:r>
              <w:t xml:space="preserve"> (superseded system)</w:t>
            </w:r>
            <w:r w:rsidRPr="00B57E0F">
              <w:t>.</w:t>
            </w:r>
          </w:p>
        </w:tc>
      </w:tr>
      <w:tr w:rsidR="005A46F2" w:rsidRPr="008C44D7" w:rsidTr="00593541">
        <w:trPr>
          <w:cantSplit/>
        </w:trPr>
        <w:tc>
          <w:tcPr>
            <w:tcW w:w="3510" w:type="dxa"/>
          </w:tcPr>
          <w:p w:rsidR="005A46F2" w:rsidRDefault="00B57E0F" w:rsidP="00B57E0F">
            <w:r w:rsidRPr="00B57E0F">
              <w:lastRenderedPageBreak/>
              <w:t>Ambulances</w:t>
            </w:r>
            <w:r>
              <w:t xml:space="preserve"> [12]</w:t>
            </w:r>
          </w:p>
          <w:p w:rsidR="00B57E0F" w:rsidRDefault="00B57E0F" w:rsidP="00B57E0F">
            <w:pPr>
              <w:ind w:left="284"/>
            </w:pPr>
            <w:r>
              <w:t>Median response time [1201]</w:t>
            </w:r>
          </w:p>
          <w:p w:rsidR="005D6F59" w:rsidRPr="008C44D7" w:rsidRDefault="005D6F59" w:rsidP="00B57E0F">
            <w:pPr>
              <w:ind w:left="284"/>
            </w:pPr>
            <w:r w:rsidRPr="005D6F59">
              <w:t>Median emergency response time (superseded measure)</w:t>
            </w:r>
            <w:r>
              <w:t xml:space="preserve"> [</w:t>
            </w:r>
            <w:r w:rsidRPr="005D6F59">
              <w:t>12010202</w:t>
            </w:r>
            <w:r>
              <w:t>]</w:t>
            </w:r>
          </w:p>
        </w:tc>
        <w:tc>
          <w:tcPr>
            <w:tcW w:w="5778" w:type="dxa"/>
          </w:tcPr>
          <w:p w:rsidR="00B57E0F" w:rsidRPr="00B57E0F" w:rsidRDefault="00B57E0F" w:rsidP="00B57E0F">
            <w:r w:rsidRPr="00B57E0F">
              <w:rPr>
                <w:i/>
                <w:iCs/>
              </w:rPr>
              <w:t>About the measure</w:t>
            </w:r>
            <w:r w:rsidRPr="00B57E0F">
              <w:t>: In Tasmania, a call to 000 for an ambulance is dealt with by an emergency medical dispatcher. The time stamp recorded when the emergency medical dispatcher creates a case in the dispatch system is used as the measure of when the call is answered by the ambulance service. This is the earliest time stamp in the dispatch system and is a good match with the national definition.</w:t>
            </w:r>
          </w:p>
          <w:p w:rsidR="005A46F2" w:rsidRPr="008C44D7" w:rsidRDefault="00B57E0F" w:rsidP="0039374F">
            <w:r w:rsidRPr="00B57E0F">
              <w:t>P</w:t>
            </w:r>
            <w:r w:rsidR="0039374F">
              <w:t>rior to October 2015</w:t>
            </w:r>
            <w:r w:rsidRPr="00B57E0F">
              <w:t xml:space="preserve">, median ambulance emergency response times were reported differently, referred to as the </w:t>
            </w:r>
            <w:r>
              <w:t>superseded</w:t>
            </w:r>
            <w:r w:rsidRPr="00B57E0F">
              <w:t xml:space="preserve"> measure. The </w:t>
            </w:r>
            <w:r>
              <w:t>superseded</w:t>
            </w:r>
            <w:r w:rsidRPr="00B57E0F">
              <w:t xml:space="preserve"> measure used the time stamp recorded when the emergency medical dispatcher had enough information to dispatch a crew to an incident. On average, this was 0.7 minutes after the case was created in the dispatch system. This results in the median response time being around 0.7 minutes longer than for the old measure.</w:t>
            </w:r>
          </w:p>
        </w:tc>
      </w:tr>
      <w:tr w:rsidR="005A46F2" w:rsidRPr="008C44D7" w:rsidTr="00593541">
        <w:trPr>
          <w:cantSplit/>
        </w:trPr>
        <w:tc>
          <w:tcPr>
            <w:tcW w:w="3510" w:type="dxa"/>
          </w:tcPr>
          <w:p w:rsidR="00593541" w:rsidRDefault="00593541" w:rsidP="00593541">
            <w:r>
              <w:t>Mental Health [13]</w:t>
            </w:r>
          </w:p>
          <w:p w:rsidR="005A46F2" w:rsidRPr="008C44D7" w:rsidRDefault="00593541" w:rsidP="00593541">
            <w:pPr>
              <w:ind w:left="284"/>
            </w:pPr>
            <w:r w:rsidRPr="00593541">
              <w:t>Community and residential active clients</w:t>
            </w:r>
            <w:r>
              <w:t xml:space="preserve"> [</w:t>
            </w:r>
            <w:r w:rsidRPr="00593541">
              <w:t>13020101</w:t>
            </w:r>
            <w:r>
              <w:t>]</w:t>
            </w:r>
          </w:p>
        </w:tc>
        <w:tc>
          <w:tcPr>
            <w:tcW w:w="5778" w:type="dxa"/>
          </w:tcPr>
          <w:p w:rsidR="00D46B45" w:rsidRPr="00D46B45" w:rsidRDefault="00D46B45" w:rsidP="00593541">
            <w:pPr>
              <w:rPr>
                <w:iCs/>
              </w:rPr>
            </w:pPr>
            <w:r w:rsidRPr="00593541">
              <w:rPr>
                <w:i/>
                <w:iCs/>
              </w:rPr>
              <w:t>About the data:</w:t>
            </w:r>
            <w:r w:rsidRPr="00593541">
              <w:t xml:space="preserve"> </w:t>
            </w:r>
            <w:r w:rsidRPr="00D46B45">
              <w:rPr>
                <w:iCs/>
              </w:rPr>
              <w:t xml:space="preserve">Data </w:t>
            </w:r>
            <w:r>
              <w:rPr>
                <w:iCs/>
              </w:rPr>
              <w:t>for July 2015 and later months</w:t>
            </w:r>
            <w:r w:rsidRPr="00D46B45">
              <w:rPr>
                <w:iCs/>
              </w:rPr>
              <w:t xml:space="preserve"> includes clients of the clozapine outpatient clinic at the Royal Hobart Hospital. Data </w:t>
            </w:r>
            <w:r>
              <w:rPr>
                <w:iCs/>
              </w:rPr>
              <w:t>for June 2015 and earlier</w:t>
            </w:r>
            <w:r w:rsidRPr="00D46B45">
              <w:rPr>
                <w:iCs/>
              </w:rPr>
              <w:t xml:space="preserve"> </w:t>
            </w:r>
            <w:r>
              <w:rPr>
                <w:iCs/>
              </w:rPr>
              <w:t>months</w:t>
            </w:r>
            <w:r w:rsidRPr="00D46B45">
              <w:rPr>
                <w:iCs/>
              </w:rPr>
              <w:t xml:space="preserve"> did not include these clients. On average, inclusion of these clients increases the number of active clients by approximately 75 clients per month.</w:t>
            </w:r>
          </w:p>
          <w:p w:rsidR="005A46F2" w:rsidRPr="008C44D7" w:rsidRDefault="00593541" w:rsidP="00593541">
            <w:r w:rsidRPr="00593541">
              <w:t xml:space="preserve">Australian Government funded dementia behaviour management advisory services were delivered by Mental Health Services for most of 2016, but </w:t>
            </w:r>
            <w:r>
              <w:t>were</w:t>
            </w:r>
            <w:r w:rsidRPr="00593541">
              <w:t xml:space="preserve"> </w:t>
            </w:r>
            <w:r>
              <w:t xml:space="preserve">subsequently </w:t>
            </w:r>
            <w:r w:rsidRPr="00593541">
              <w:t xml:space="preserve">delivered by a non-government organisation. The impact of this change is to reduce the number of active clients under the care of Mental Health Services by approximately two hundred clients per month. This reduction occurred </w:t>
            </w:r>
            <w:r>
              <w:t>over</w:t>
            </w:r>
            <w:r w:rsidRPr="00593541">
              <w:t xml:space="preserve"> the period from July 2016 through to November 2016.</w:t>
            </w:r>
          </w:p>
        </w:tc>
      </w:tr>
    </w:tbl>
    <w:p w:rsidR="007D1C1F" w:rsidRPr="002C21A4" w:rsidRDefault="007D1C1F" w:rsidP="002C21A4"/>
    <w:sectPr w:rsidR="007D1C1F" w:rsidRPr="002C21A4" w:rsidSect="00D27E4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866296"/>
    <w:lvl w:ilvl="0">
      <w:start w:val="1"/>
      <w:numFmt w:val="bullet"/>
      <w:pStyle w:val="ListBullet2"/>
      <w:lvlText w:val="o"/>
      <w:lvlJc w:val="left"/>
      <w:pPr>
        <w:ind w:left="643" w:hanging="360"/>
      </w:pPr>
      <w:rPr>
        <w:rFonts w:ascii="Courier New" w:hAnsi="Courier New" w:cs="Courier New" w:hint="default"/>
      </w:rPr>
    </w:lvl>
  </w:abstractNum>
  <w:abstractNum w:abstractNumId="1">
    <w:nsid w:val="FFFFFF89"/>
    <w:multiLevelType w:val="singleLevel"/>
    <w:tmpl w:val="5B4E3A4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F317A4A"/>
    <w:multiLevelType w:val="hybridMultilevel"/>
    <w:tmpl w:val="1A48C5D2"/>
    <w:lvl w:ilvl="0" w:tplc="AB8A7AD6">
      <w:start w:val="1"/>
      <w:numFmt w:val="bullet"/>
      <w:pStyle w:val="DotPoin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
    <w:nsid w:val="0F5556B8"/>
    <w:multiLevelType w:val="hybridMultilevel"/>
    <w:tmpl w:val="9FC4C4F8"/>
    <w:lvl w:ilvl="0" w:tplc="8F820FDA">
      <w:start w:val="1"/>
      <w:numFmt w:val="bullet"/>
      <w:pStyle w:val="DotPoint1"/>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nsid w:val="1A1C64C1"/>
    <w:multiLevelType w:val="hybridMultilevel"/>
    <w:tmpl w:val="E2B492BC"/>
    <w:lvl w:ilvl="0" w:tplc="C1A44262">
      <w:start w:val="1"/>
      <w:numFmt w:val="bullet"/>
      <w:lvlText w:val="o"/>
      <w:lvlJc w:val="left"/>
      <w:pPr>
        <w:ind w:left="1287" w:hanging="360"/>
      </w:pPr>
      <w:rPr>
        <w:rFonts w:ascii="Courier New" w:hAnsi="Courier New" w:cs="Courier New"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3C8F6FF0"/>
    <w:multiLevelType w:val="hybridMultilevel"/>
    <w:tmpl w:val="2DB6E74E"/>
    <w:lvl w:ilvl="0" w:tplc="52CE071A">
      <w:start w:val="1"/>
      <w:numFmt w:val="bullet"/>
      <w:pStyle w:val="DotPoint2"/>
      <w:lvlText w:val=""/>
      <w:lvlJc w:val="left"/>
      <w:pPr>
        <w:ind w:left="1287" w:hanging="360"/>
      </w:pPr>
      <w:rPr>
        <w:rFonts w:ascii="Wingdings" w:hAnsi="Wingding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1"/>
  </w:num>
  <w:num w:numId="3">
    <w:abstractNumId w:val="0"/>
  </w:num>
  <w:num w:numId="4">
    <w:abstractNumId w:val="0"/>
  </w:num>
  <w:num w:numId="5">
    <w:abstractNumId w:val="1"/>
  </w:num>
  <w:num w:numId="6">
    <w:abstractNumId w:val="0"/>
  </w:num>
  <w:num w:numId="7">
    <w:abstractNumId w:val="1"/>
  </w:num>
  <w:num w:numId="8">
    <w:abstractNumId w:val="1"/>
  </w:num>
  <w:num w:numId="9">
    <w:abstractNumId w:val="2"/>
  </w:num>
  <w:num w:numId="10">
    <w:abstractNumId w:val="2"/>
  </w:num>
  <w:num w:numId="11">
    <w:abstractNumId w:val="2"/>
  </w:num>
  <w:num w:numId="12">
    <w:abstractNumId w:val="1"/>
  </w:num>
  <w:num w:numId="13">
    <w:abstractNumId w:val="0"/>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3"/>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D7F"/>
    <w:rsid w:val="000169F9"/>
    <w:rsid w:val="00044952"/>
    <w:rsid w:val="000478B3"/>
    <w:rsid w:val="00070D7F"/>
    <w:rsid w:val="00071D3E"/>
    <w:rsid w:val="00091C54"/>
    <w:rsid w:val="000E3D4B"/>
    <w:rsid w:val="00120B91"/>
    <w:rsid w:val="00121421"/>
    <w:rsid w:val="00145D29"/>
    <w:rsid w:val="0016284D"/>
    <w:rsid w:val="00197E82"/>
    <w:rsid w:val="001B257D"/>
    <w:rsid w:val="00221B37"/>
    <w:rsid w:val="0023732E"/>
    <w:rsid w:val="00242ECD"/>
    <w:rsid w:val="002C21A4"/>
    <w:rsid w:val="0033232D"/>
    <w:rsid w:val="00366E6D"/>
    <w:rsid w:val="0039374F"/>
    <w:rsid w:val="003A0229"/>
    <w:rsid w:val="00400E48"/>
    <w:rsid w:val="004653EC"/>
    <w:rsid w:val="0047791B"/>
    <w:rsid w:val="00482AF6"/>
    <w:rsid w:val="00584667"/>
    <w:rsid w:val="00593541"/>
    <w:rsid w:val="005A342B"/>
    <w:rsid w:val="005A46F2"/>
    <w:rsid w:val="005B38DB"/>
    <w:rsid w:val="005D554E"/>
    <w:rsid w:val="005D6F59"/>
    <w:rsid w:val="005E3666"/>
    <w:rsid w:val="006126B7"/>
    <w:rsid w:val="00625B59"/>
    <w:rsid w:val="00681CE2"/>
    <w:rsid w:val="00682913"/>
    <w:rsid w:val="0068314E"/>
    <w:rsid w:val="006A2385"/>
    <w:rsid w:val="006A29FC"/>
    <w:rsid w:val="006C1E22"/>
    <w:rsid w:val="006E48D1"/>
    <w:rsid w:val="007234BD"/>
    <w:rsid w:val="00764224"/>
    <w:rsid w:val="007D1C1F"/>
    <w:rsid w:val="00821525"/>
    <w:rsid w:val="00827CC6"/>
    <w:rsid w:val="008C44D7"/>
    <w:rsid w:val="008D238B"/>
    <w:rsid w:val="008E2320"/>
    <w:rsid w:val="00935F60"/>
    <w:rsid w:val="0095200B"/>
    <w:rsid w:val="009C129E"/>
    <w:rsid w:val="009C14AB"/>
    <w:rsid w:val="009F635F"/>
    <w:rsid w:val="009F79F5"/>
    <w:rsid w:val="00A66510"/>
    <w:rsid w:val="00A712ED"/>
    <w:rsid w:val="00A91E65"/>
    <w:rsid w:val="00B41503"/>
    <w:rsid w:val="00B57E0F"/>
    <w:rsid w:val="00B70EED"/>
    <w:rsid w:val="00BB5B5B"/>
    <w:rsid w:val="00BB717C"/>
    <w:rsid w:val="00C014D3"/>
    <w:rsid w:val="00C047F1"/>
    <w:rsid w:val="00C32371"/>
    <w:rsid w:val="00C35605"/>
    <w:rsid w:val="00C36AC6"/>
    <w:rsid w:val="00C66197"/>
    <w:rsid w:val="00C81C35"/>
    <w:rsid w:val="00C922D5"/>
    <w:rsid w:val="00CB3A3A"/>
    <w:rsid w:val="00CB7EAD"/>
    <w:rsid w:val="00CF22BF"/>
    <w:rsid w:val="00D27E48"/>
    <w:rsid w:val="00D46B45"/>
    <w:rsid w:val="00DA13AE"/>
    <w:rsid w:val="00DA14CC"/>
    <w:rsid w:val="00DC0E5D"/>
    <w:rsid w:val="00DC352B"/>
    <w:rsid w:val="00DC60C7"/>
    <w:rsid w:val="00DF6314"/>
    <w:rsid w:val="00E33400"/>
    <w:rsid w:val="00E96C8D"/>
    <w:rsid w:val="00E97F94"/>
    <w:rsid w:val="00EA54D1"/>
    <w:rsid w:val="00ED4555"/>
    <w:rsid w:val="00ED5E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952"/>
    <w:pPr>
      <w:spacing w:before="240" w:line="300" w:lineRule="atLeast"/>
    </w:pPr>
    <w:rPr>
      <w:rFonts w:ascii="Gill Sans MT" w:hAnsi="Gill Sans MT"/>
      <w:sz w:val="24"/>
      <w:szCs w:val="24"/>
    </w:rPr>
  </w:style>
  <w:style w:type="paragraph" w:styleId="Heading1">
    <w:name w:val="heading 1"/>
    <w:basedOn w:val="Normal"/>
    <w:next w:val="Normal"/>
    <w:link w:val="Heading1Char"/>
    <w:qFormat/>
    <w:rsid w:val="00681CE2"/>
    <w:pPr>
      <w:keepNext/>
      <w:keepLines/>
      <w:pageBreakBefore/>
      <w:spacing w:before="0" w:after="480"/>
      <w:jc w:val="center"/>
      <w:outlineLvl w:val="0"/>
    </w:pPr>
    <w:rPr>
      <w:rFonts w:eastAsiaTheme="majorEastAsia" w:cstheme="majorBidi"/>
      <w:b/>
      <w:bCs/>
      <w:sz w:val="36"/>
      <w:szCs w:val="28"/>
    </w:rPr>
  </w:style>
  <w:style w:type="paragraph" w:styleId="Heading2">
    <w:name w:val="heading 2"/>
    <w:basedOn w:val="Normal"/>
    <w:next w:val="Normal"/>
    <w:link w:val="Heading2Char"/>
    <w:unhideWhenUsed/>
    <w:qFormat/>
    <w:rsid w:val="00681CE2"/>
    <w:pPr>
      <w:keepNext/>
      <w:keepLines/>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681CE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366E6D"/>
    <w:pPr>
      <w:keepNext/>
      <w:keepLines/>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CE2"/>
    <w:rPr>
      <w:rFonts w:ascii="Gill Sans MT" w:eastAsiaTheme="majorEastAsia" w:hAnsi="Gill Sans MT" w:cstheme="majorBidi"/>
      <w:b/>
      <w:bCs/>
      <w:sz w:val="36"/>
      <w:szCs w:val="28"/>
    </w:rPr>
  </w:style>
  <w:style w:type="character" w:customStyle="1" w:styleId="Heading2Char">
    <w:name w:val="Heading 2 Char"/>
    <w:basedOn w:val="DefaultParagraphFont"/>
    <w:link w:val="Heading2"/>
    <w:rsid w:val="00681CE2"/>
    <w:rPr>
      <w:rFonts w:ascii="Gill Sans MT" w:eastAsiaTheme="majorEastAsia" w:hAnsi="Gill Sans MT" w:cstheme="majorBidi"/>
      <w:b/>
      <w:bCs/>
      <w:sz w:val="28"/>
      <w:szCs w:val="26"/>
    </w:rPr>
  </w:style>
  <w:style w:type="character" w:customStyle="1" w:styleId="Heading3Char">
    <w:name w:val="Heading 3 Char"/>
    <w:basedOn w:val="DefaultParagraphFont"/>
    <w:link w:val="Heading3"/>
    <w:rsid w:val="00681CE2"/>
    <w:rPr>
      <w:rFonts w:ascii="Gill Sans MT" w:eastAsiaTheme="majorEastAsia" w:hAnsi="Gill Sans MT" w:cstheme="majorBidi"/>
      <w:b/>
      <w:bCs/>
      <w:sz w:val="24"/>
      <w:szCs w:val="24"/>
    </w:rPr>
  </w:style>
  <w:style w:type="paragraph" w:styleId="ListBullet">
    <w:name w:val="List Bullet"/>
    <w:basedOn w:val="Normal"/>
    <w:rsid w:val="00044952"/>
    <w:pPr>
      <w:numPr>
        <w:numId w:val="12"/>
      </w:numPr>
      <w:tabs>
        <w:tab w:val="left" w:pos="567"/>
      </w:tabs>
    </w:pPr>
  </w:style>
  <w:style w:type="paragraph" w:styleId="ListBullet2">
    <w:name w:val="List Bullet 2"/>
    <w:basedOn w:val="Normal"/>
    <w:rsid w:val="00044952"/>
    <w:pPr>
      <w:numPr>
        <w:numId w:val="13"/>
      </w:numPr>
      <w:tabs>
        <w:tab w:val="left" w:pos="1134"/>
      </w:tabs>
    </w:pPr>
  </w:style>
  <w:style w:type="character" w:customStyle="1" w:styleId="Heading4Char">
    <w:name w:val="Heading 4 Char"/>
    <w:basedOn w:val="DefaultParagraphFont"/>
    <w:link w:val="Heading4"/>
    <w:rsid w:val="00366E6D"/>
    <w:rPr>
      <w:rFonts w:ascii="Gill Sans MT" w:eastAsiaTheme="majorEastAsia" w:hAnsi="Gill Sans MT" w:cstheme="majorBidi"/>
      <w:bCs/>
      <w:iCs/>
      <w:sz w:val="24"/>
      <w:szCs w:val="24"/>
      <w:u w:val="single"/>
    </w:rPr>
  </w:style>
  <w:style w:type="paragraph" w:customStyle="1" w:styleId="DotPoint">
    <w:name w:val="Dot Point"/>
    <w:basedOn w:val="Normal"/>
    <w:link w:val="DotPointChar"/>
    <w:qFormat/>
    <w:rsid w:val="00044952"/>
    <w:pPr>
      <w:numPr>
        <w:numId w:val="9"/>
      </w:numPr>
      <w:tabs>
        <w:tab w:val="left" w:pos="567"/>
      </w:tabs>
      <w:ind w:left="567" w:hanging="567"/>
    </w:pPr>
  </w:style>
  <w:style w:type="character" w:customStyle="1" w:styleId="DotPointChar">
    <w:name w:val="Dot Point Char"/>
    <w:basedOn w:val="DefaultParagraphFont"/>
    <w:link w:val="DotPoint"/>
    <w:rsid w:val="00044952"/>
    <w:rPr>
      <w:rFonts w:ascii="Gill Sans MT" w:hAnsi="Gill Sans MT"/>
      <w:sz w:val="24"/>
      <w:szCs w:val="24"/>
    </w:rPr>
  </w:style>
  <w:style w:type="character" w:styleId="Emphasis">
    <w:name w:val="Emphasis"/>
    <w:basedOn w:val="DefaultParagraphFont"/>
    <w:rsid w:val="00044952"/>
    <w:rPr>
      <w:i/>
      <w:iCs/>
    </w:rPr>
  </w:style>
  <w:style w:type="paragraph" w:styleId="ListParagraph">
    <w:name w:val="List Paragraph"/>
    <w:basedOn w:val="Normal"/>
    <w:uiPriority w:val="34"/>
    <w:rsid w:val="00044952"/>
    <w:pPr>
      <w:ind w:left="720"/>
      <w:contextualSpacing/>
    </w:pPr>
  </w:style>
  <w:style w:type="character" w:styleId="BookTitle">
    <w:name w:val="Book Title"/>
    <w:basedOn w:val="DefaultParagraphFont"/>
    <w:uiPriority w:val="33"/>
    <w:rsid w:val="00044952"/>
    <w:rPr>
      <w:b/>
      <w:bCs/>
      <w:smallCaps/>
      <w:spacing w:val="5"/>
    </w:rPr>
  </w:style>
  <w:style w:type="character" w:styleId="IntenseReference">
    <w:name w:val="Intense Reference"/>
    <w:basedOn w:val="DefaultParagraphFont"/>
    <w:uiPriority w:val="32"/>
    <w:rsid w:val="00044952"/>
    <w:rPr>
      <w:b/>
      <w:bCs/>
      <w:smallCaps/>
      <w:color w:val="C0504D" w:themeColor="accent2"/>
      <w:spacing w:val="5"/>
      <w:u w:val="single"/>
    </w:rPr>
  </w:style>
  <w:style w:type="character" w:styleId="SubtleReference">
    <w:name w:val="Subtle Reference"/>
    <w:basedOn w:val="DefaultParagraphFont"/>
    <w:uiPriority w:val="31"/>
    <w:rsid w:val="00044952"/>
    <w:rPr>
      <w:smallCaps/>
      <w:color w:val="C0504D" w:themeColor="accent2"/>
      <w:u w:val="single"/>
    </w:rPr>
  </w:style>
  <w:style w:type="paragraph" w:styleId="IntenseQuote">
    <w:name w:val="Intense Quote"/>
    <w:basedOn w:val="Normal"/>
    <w:next w:val="Normal"/>
    <w:link w:val="IntenseQuoteChar"/>
    <w:uiPriority w:val="30"/>
    <w:rsid w:val="000449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952"/>
    <w:rPr>
      <w:rFonts w:ascii="Gill Sans MT" w:hAnsi="Gill Sans MT"/>
      <w:b/>
      <w:bCs/>
      <w:i/>
      <w:iCs/>
      <w:color w:val="4F81BD" w:themeColor="accent1"/>
      <w:sz w:val="24"/>
      <w:szCs w:val="24"/>
    </w:rPr>
  </w:style>
  <w:style w:type="paragraph" w:styleId="Quote">
    <w:name w:val="Quote"/>
    <w:basedOn w:val="Normal"/>
    <w:next w:val="Normal"/>
    <w:link w:val="QuoteChar"/>
    <w:uiPriority w:val="29"/>
    <w:rsid w:val="00044952"/>
    <w:rPr>
      <w:i/>
      <w:iCs/>
      <w:color w:val="000000" w:themeColor="text1"/>
    </w:rPr>
  </w:style>
  <w:style w:type="character" w:customStyle="1" w:styleId="QuoteChar">
    <w:name w:val="Quote Char"/>
    <w:basedOn w:val="DefaultParagraphFont"/>
    <w:link w:val="Quote"/>
    <w:uiPriority w:val="29"/>
    <w:rsid w:val="00044952"/>
    <w:rPr>
      <w:rFonts w:ascii="Gill Sans MT" w:hAnsi="Gill Sans MT"/>
      <w:i/>
      <w:iCs/>
      <w:color w:val="000000" w:themeColor="text1"/>
      <w:sz w:val="24"/>
      <w:szCs w:val="24"/>
    </w:rPr>
  </w:style>
  <w:style w:type="character" w:styleId="IntenseEmphasis">
    <w:name w:val="Intense Emphasis"/>
    <w:basedOn w:val="DefaultParagraphFont"/>
    <w:uiPriority w:val="21"/>
    <w:rsid w:val="00044952"/>
    <w:rPr>
      <w:b/>
      <w:bCs/>
      <w:i/>
      <w:iCs/>
      <w:color w:val="4F81BD" w:themeColor="accent1"/>
    </w:rPr>
  </w:style>
  <w:style w:type="character" w:styleId="SubtleEmphasis">
    <w:name w:val="Subtle Emphasis"/>
    <w:basedOn w:val="DefaultParagraphFont"/>
    <w:uiPriority w:val="19"/>
    <w:rsid w:val="00044952"/>
    <w:rPr>
      <w:i/>
      <w:iCs/>
      <w:color w:val="808080" w:themeColor="text1" w:themeTint="7F"/>
    </w:rPr>
  </w:style>
  <w:style w:type="paragraph" w:styleId="NoSpacing">
    <w:name w:val="No Spacing"/>
    <w:uiPriority w:val="1"/>
    <w:rsid w:val="00044952"/>
    <w:rPr>
      <w:rFonts w:ascii="Gill Sans MT" w:hAnsi="Gill Sans MT"/>
      <w:sz w:val="24"/>
      <w:szCs w:val="24"/>
    </w:rPr>
  </w:style>
  <w:style w:type="paragraph" w:styleId="Title">
    <w:name w:val="Title"/>
    <w:basedOn w:val="Normal"/>
    <w:next w:val="Normal"/>
    <w:link w:val="TitleChar"/>
    <w:rsid w:val="0004495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49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sid w:val="0004495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4495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rsid w:val="00044952"/>
    <w:rPr>
      <w:b/>
      <w:bCs/>
    </w:rPr>
  </w:style>
  <w:style w:type="paragraph" w:customStyle="1" w:styleId="DotPoint1">
    <w:name w:val="Dot Point 1"/>
    <w:basedOn w:val="Normal"/>
    <w:qFormat/>
    <w:rsid w:val="008D238B"/>
    <w:pPr>
      <w:numPr>
        <w:numId w:val="24"/>
      </w:numPr>
      <w:tabs>
        <w:tab w:val="left" w:pos="1134"/>
      </w:tabs>
      <w:ind w:left="1134" w:hanging="567"/>
    </w:pPr>
  </w:style>
  <w:style w:type="paragraph" w:customStyle="1" w:styleId="DotPoint2">
    <w:name w:val="Dot Point 2"/>
    <w:basedOn w:val="DotPoint1"/>
    <w:qFormat/>
    <w:rsid w:val="002C21A4"/>
    <w:pPr>
      <w:numPr>
        <w:numId w:val="25"/>
      </w:numPr>
      <w:tabs>
        <w:tab w:val="clear" w:pos="1134"/>
        <w:tab w:val="left" w:pos="1701"/>
      </w:tabs>
      <w:ind w:left="1701" w:hanging="567"/>
    </w:pPr>
  </w:style>
  <w:style w:type="character" w:styleId="Hyperlink">
    <w:name w:val="Hyperlink"/>
    <w:basedOn w:val="DefaultParagraphFont"/>
    <w:rsid w:val="00A91E65"/>
    <w:rPr>
      <w:color w:val="0000FF" w:themeColor="hyperlink"/>
      <w:u w:val="single"/>
    </w:rPr>
  </w:style>
  <w:style w:type="table" w:styleId="TableGrid">
    <w:name w:val="Table Grid"/>
    <w:basedOn w:val="TableNormal"/>
    <w:rsid w:val="008C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373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4952"/>
    <w:pPr>
      <w:spacing w:before="240" w:line="300" w:lineRule="atLeast"/>
    </w:pPr>
    <w:rPr>
      <w:rFonts w:ascii="Gill Sans MT" w:hAnsi="Gill Sans MT"/>
      <w:sz w:val="24"/>
      <w:szCs w:val="24"/>
    </w:rPr>
  </w:style>
  <w:style w:type="paragraph" w:styleId="Heading1">
    <w:name w:val="heading 1"/>
    <w:basedOn w:val="Normal"/>
    <w:next w:val="Normal"/>
    <w:link w:val="Heading1Char"/>
    <w:qFormat/>
    <w:rsid w:val="00681CE2"/>
    <w:pPr>
      <w:keepNext/>
      <w:keepLines/>
      <w:pageBreakBefore/>
      <w:spacing w:before="0" w:after="480"/>
      <w:jc w:val="center"/>
      <w:outlineLvl w:val="0"/>
    </w:pPr>
    <w:rPr>
      <w:rFonts w:eastAsiaTheme="majorEastAsia" w:cstheme="majorBidi"/>
      <w:b/>
      <w:bCs/>
      <w:sz w:val="36"/>
      <w:szCs w:val="28"/>
    </w:rPr>
  </w:style>
  <w:style w:type="paragraph" w:styleId="Heading2">
    <w:name w:val="heading 2"/>
    <w:basedOn w:val="Normal"/>
    <w:next w:val="Normal"/>
    <w:link w:val="Heading2Char"/>
    <w:unhideWhenUsed/>
    <w:qFormat/>
    <w:rsid w:val="00681CE2"/>
    <w:pPr>
      <w:keepNext/>
      <w:keepLines/>
      <w:outlineLvl w:val="1"/>
    </w:pPr>
    <w:rPr>
      <w:rFonts w:eastAsiaTheme="majorEastAsia" w:cstheme="majorBidi"/>
      <w:b/>
      <w:bCs/>
      <w:sz w:val="28"/>
      <w:szCs w:val="26"/>
    </w:rPr>
  </w:style>
  <w:style w:type="paragraph" w:styleId="Heading3">
    <w:name w:val="heading 3"/>
    <w:basedOn w:val="Normal"/>
    <w:next w:val="Normal"/>
    <w:link w:val="Heading3Char"/>
    <w:unhideWhenUsed/>
    <w:qFormat/>
    <w:rsid w:val="00681CE2"/>
    <w:pPr>
      <w:keepNext/>
      <w:keepLines/>
      <w:outlineLvl w:val="2"/>
    </w:pPr>
    <w:rPr>
      <w:rFonts w:eastAsiaTheme="majorEastAsia" w:cstheme="majorBidi"/>
      <w:b/>
      <w:bCs/>
    </w:rPr>
  </w:style>
  <w:style w:type="paragraph" w:styleId="Heading4">
    <w:name w:val="heading 4"/>
    <w:basedOn w:val="Normal"/>
    <w:next w:val="Normal"/>
    <w:link w:val="Heading4Char"/>
    <w:unhideWhenUsed/>
    <w:qFormat/>
    <w:rsid w:val="00366E6D"/>
    <w:pPr>
      <w:keepNext/>
      <w:keepLines/>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1CE2"/>
    <w:rPr>
      <w:rFonts w:ascii="Gill Sans MT" w:eastAsiaTheme="majorEastAsia" w:hAnsi="Gill Sans MT" w:cstheme="majorBidi"/>
      <w:b/>
      <w:bCs/>
      <w:sz w:val="36"/>
      <w:szCs w:val="28"/>
    </w:rPr>
  </w:style>
  <w:style w:type="character" w:customStyle="1" w:styleId="Heading2Char">
    <w:name w:val="Heading 2 Char"/>
    <w:basedOn w:val="DefaultParagraphFont"/>
    <w:link w:val="Heading2"/>
    <w:rsid w:val="00681CE2"/>
    <w:rPr>
      <w:rFonts w:ascii="Gill Sans MT" w:eastAsiaTheme="majorEastAsia" w:hAnsi="Gill Sans MT" w:cstheme="majorBidi"/>
      <w:b/>
      <w:bCs/>
      <w:sz w:val="28"/>
      <w:szCs w:val="26"/>
    </w:rPr>
  </w:style>
  <w:style w:type="character" w:customStyle="1" w:styleId="Heading3Char">
    <w:name w:val="Heading 3 Char"/>
    <w:basedOn w:val="DefaultParagraphFont"/>
    <w:link w:val="Heading3"/>
    <w:rsid w:val="00681CE2"/>
    <w:rPr>
      <w:rFonts w:ascii="Gill Sans MT" w:eastAsiaTheme="majorEastAsia" w:hAnsi="Gill Sans MT" w:cstheme="majorBidi"/>
      <w:b/>
      <w:bCs/>
      <w:sz w:val="24"/>
      <w:szCs w:val="24"/>
    </w:rPr>
  </w:style>
  <w:style w:type="paragraph" w:styleId="ListBullet">
    <w:name w:val="List Bullet"/>
    <w:basedOn w:val="Normal"/>
    <w:rsid w:val="00044952"/>
    <w:pPr>
      <w:numPr>
        <w:numId w:val="12"/>
      </w:numPr>
      <w:tabs>
        <w:tab w:val="left" w:pos="567"/>
      </w:tabs>
    </w:pPr>
  </w:style>
  <w:style w:type="paragraph" w:styleId="ListBullet2">
    <w:name w:val="List Bullet 2"/>
    <w:basedOn w:val="Normal"/>
    <w:rsid w:val="00044952"/>
    <w:pPr>
      <w:numPr>
        <w:numId w:val="13"/>
      </w:numPr>
      <w:tabs>
        <w:tab w:val="left" w:pos="1134"/>
      </w:tabs>
    </w:pPr>
  </w:style>
  <w:style w:type="character" w:customStyle="1" w:styleId="Heading4Char">
    <w:name w:val="Heading 4 Char"/>
    <w:basedOn w:val="DefaultParagraphFont"/>
    <w:link w:val="Heading4"/>
    <w:rsid w:val="00366E6D"/>
    <w:rPr>
      <w:rFonts w:ascii="Gill Sans MT" w:eastAsiaTheme="majorEastAsia" w:hAnsi="Gill Sans MT" w:cstheme="majorBidi"/>
      <w:bCs/>
      <w:iCs/>
      <w:sz w:val="24"/>
      <w:szCs w:val="24"/>
      <w:u w:val="single"/>
    </w:rPr>
  </w:style>
  <w:style w:type="paragraph" w:customStyle="1" w:styleId="DotPoint">
    <w:name w:val="Dot Point"/>
    <w:basedOn w:val="Normal"/>
    <w:link w:val="DotPointChar"/>
    <w:qFormat/>
    <w:rsid w:val="00044952"/>
    <w:pPr>
      <w:numPr>
        <w:numId w:val="9"/>
      </w:numPr>
      <w:tabs>
        <w:tab w:val="left" w:pos="567"/>
      </w:tabs>
      <w:ind w:left="567" w:hanging="567"/>
    </w:pPr>
  </w:style>
  <w:style w:type="character" w:customStyle="1" w:styleId="DotPointChar">
    <w:name w:val="Dot Point Char"/>
    <w:basedOn w:val="DefaultParagraphFont"/>
    <w:link w:val="DotPoint"/>
    <w:rsid w:val="00044952"/>
    <w:rPr>
      <w:rFonts w:ascii="Gill Sans MT" w:hAnsi="Gill Sans MT"/>
      <w:sz w:val="24"/>
      <w:szCs w:val="24"/>
    </w:rPr>
  </w:style>
  <w:style w:type="character" w:styleId="Emphasis">
    <w:name w:val="Emphasis"/>
    <w:basedOn w:val="DefaultParagraphFont"/>
    <w:rsid w:val="00044952"/>
    <w:rPr>
      <w:i/>
      <w:iCs/>
    </w:rPr>
  </w:style>
  <w:style w:type="paragraph" w:styleId="ListParagraph">
    <w:name w:val="List Paragraph"/>
    <w:basedOn w:val="Normal"/>
    <w:uiPriority w:val="34"/>
    <w:rsid w:val="00044952"/>
    <w:pPr>
      <w:ind w:left="720"/>
      <w:contextualSpacing/>
    </w:pPr>
  </w:style>
  <w:style w:type="character" w:styleId="BookTitle">
    <w:name w:val="Book Title"/>
    <w:basedOn w:val="DefaultParagraphFont"/>
    <w:uiPriority w:val="33"/>
    <w:rsid w:val="00044952"/>
    <w:rPr>
      <w:b/>
      <w:bCs/>
      <w:smallCaps/>
      <w:spacing w:val="5"/>
    </w:rPr>
  </w:style>
  <w:style w:type="character" w:styleId="IntenseReference">
    <w:name w:val="Intense Reference"/>
    <w:basedOn w:val="DefaultParagraphFont"/>
    <w:uiPriority w:val="32"/>
    <w:rsid w:val="00044952"/>
    <w:rPr>
      <w:b/>
      <w:bCs/>
      <w:smallCaps/>
      <w:color w:val="C0504D" w:themeColor="accent2"/>
      <w:spacing w:val="5"/>
      <w:u w:val="single"/>
    </w:rPr>
  </w:style>
  <w:style w:type="character" w:styleId="SubtleReference">
    <w:name w:val="Subtle Reference"/>
    <w:basedOn w:val="DefaultParagraphFont"/>
    <w:uiPriority w:val="31"/>
    <w:rsid w:val="00044952"/>
    <w:rPr>
      <w:smallCaps/>
      <w:color w:val="C0504D" w:themeColor="accent2"/>
      <w:u w:val="single"/>
    </w:rPr>
  </w:style>
  <w:style w:type="paragraph" w:styleId="IntenseQuote">
    <w:name w:val="Intense Quote"/>
    <w:basedOn w:val="Normal"/>
    <w:next w:val="Normal"/>
    <w:link w:val="IntenseQuoteChar"/>
    <w:uiPriority w:val="30"/>
    <w:rsid w:val="000449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4952"/>
    <w:rPr>
      <w:rFonts w:ascii="Gill Sans MT" w:hAnsi="Gill Sans MT"/>
      <w:b/>
      <w:bCs/>
      <w:i/>
      <w:iCs/>
      <w:color w:val="4F81BD" w:themeColor="accent1"/>
      <w:sz w:val="24"/>
      <w:szCs w:val="24"/>
    </w:rPr>
  </w:style>
  <w:style w:type="paragraph" w:styleId="Quote">
    <w:name w:val="Quote"/>
    <w:basedOn w:val="Normal"/>
    <w:next w:val="Normal"/>
    <w:link w:val="QuoteChar"/>
    <w:uiPriority w:val="29"/>
    <w:rsid w:val="00044952"/>
    <w:rPr>
      <w:i/>
      <w:iCs/>
      <w:color w:val="000000" w:themeColor="text1"/>
    </w:rPr>
  </w:style>
  <w:style w:type="character" w:customStyle="1" w:styleId="QuoteChar">
    <w:name w:val="Quote Char"/>
    <w:basedOn w:val="DefaultParagraphFont"/>
    <w:link w:val="Quote"/>
    <w:uiPriority w:val="29"/>
    <w:rsid w:val="00044952"/>
    <w:rPr>
      <w:rFonts w:ascii="Gill Sans MT" w:hAnsi="Gill Sans MT"/>
      <w:i/>
      <w:iCs/>
      <w:color w:val="000000" w:themeColor="text1"/>
      <w:sz w:val="24"/>
      <w:szCs w:val="24"/>
    </w:rPr>
  </w:style>
  <w:style w:type="character" w:styleId="IntenseEmphasis">
    <w:name w:val="Intense Emphasis"/>
    <w:basedOn w:val="DefaultParagraphFont"/>
    <w:uiPriority w:val="21"/>
    <w:rsid w:val="00044952"/>
    <w:rPr>
      <w:b/>
      <w:bCs/>
      <w:i/>
      <w:iCs/>
      <w:color w:val="4F81BD" w:themeColor="accent1"/>
    </w:rPr>
  </w:style>
  <w:style w:type="character" w:styleId="SubtleEmphasis">
    <w:name w:val="Subtle Emphasis"/>
    <w:basedOn w:val="DefaultParagraphFont"/>
    <w:uiPriority w:val="19"/>
    <w:rsid w:val="00044952"/>
    <w:rPr>
      <w:i/>
      <w:iCs/>
      <w:color w:val="808080" w:themeColor="text1" w:themeTint="7F"/>
    </w:rPr>
  </w:style>
  <w:style w:type="paragraph" w:styleId="NoSpacing">
    <w:name w:val="No Spacing"/>
    <w:uiPriority w:val="1"/>
    <w:rsid w:val="00044952"/>
    <w:rPr>
      <w:rFonts w:ascii="Gill Sans MT" w:hAnsi="Gill Sans MT"/>
      <w:sz w:val="24"/>
      <w:szCs w:val="24"/>
    </w:rPr>
  </w:style>
  <w:style w:type="paragraph" w:styleId="Title">
    <w:name w:val="Title"/>
    <w:basedOn w:val="Normal"/>
    <w:next w:val="Normal"/>
    <w:link w:val="TitleChar"/>
    <w:rsid w:val="00044952"/>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4495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rsid w:val="0004495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44952"/>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rsid w:val="00044952"/>
    <w:rPr>
      <w:b/>
      <w:bCs/>
    </w:rPr>
  </w:style>
  <w:style w:type="paragraph" w:customStyle="1" w:styleId="DotPoint1">
    <w:name w:val="Dot Point 1"/>
    <w:basedOn w:val="Normal"/>
    <w:qFormat/>
    <w:rsid w:val="008D238B"/>
    <w:pPr>
      <w:numPr>
        <w:numId w:val="24"/>
      </w:numPr>
      <w:tabs>
        <w:tab w:val="left" w:pos="1134"/>
      </w:tabs>
      <w:ind w:left="1134" w:hanging="567"/>
    </w:pPr>
  </w:style>
  <w:style w:type="paragraph" w:customStyle="1" w:styleId="DotPoint2">
    <w:name w:val="Dot Point 2"/>
    <w:basedOn w:val="DotPoint1"/>
    <w:qFormat/>
    <w:rsid w:val="002C21A4"/>
    <w:pPr>
      <w:numPr>
        <w:numId w:val="25"/>
      </w:numPr>
      <w:tabs>
        <w:tab w:val="clear" w:pos="1134"/>
        <w:tab w:val="left" w:pos="1701"/>
      </w:tabs>
      <w:ind w:left="1701" w:hanging="567"/>
    </w:pPr>
  </w:style>
  <w:style w:type="character" w:styleId="Hyperlink">
    <w:name w:val="Hyperlink"/>
    <w:basedOn w:val="DefaultParagraphFont"/>
    <w:rsid w:val="00A91E65"/>
    <w:rPr>
      <w:color w:val="0000FF" w:themeColor="hyperlink"/>
      <w:u w:val="single"/>
    </w:rPr>
  </w:style>
  <w:style w:type="table" w:styleId="TableGrid">
    <w:name w:val="Table Grid"/>
    <w:basedOn w:val="TableNormal"/>
    <w:rsid w:val="008C44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2373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tats.dhhs.tas.gov.au" TargetMode="External"/><Relationship Id="rId3" Type="http://schemas.microsoft.com/office/2007/relationships/stylesWithEffects" Target="stylesWithEffects.xml"/><Relationship Id="rId7" Type="http://schemas.openxmlformats.org/officeDocument/2006/relationships/hyperlink" Target="https://www.healthstats.dhhs.tas.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althstats.dhhs.tas.gov.a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464C5781.dotm</Template>
  <TotalTime>421</TotalTime>
  <Pages>5</Pages>
  <Words>1406</Words>
  <Characters>7417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8806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Mark A (PPM)</dc:creator>
  <cp:lastModifiedBy>Johnson, Mark A (PPM)</cp:lastModifiedBy>
  <cp:revision>50</cp:revision>
  <dcterms:created xsi:type="dcterms:W3CDTF">2017-07-14T04:41:00Z</dcterms:created>
  <dcterms:modified xsi:type="dcterms:W3CDTF">2018-08-31T05:41:00Z</dcterms:modified>
</cp:coreProperties>
</file>