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B4" w:rsidRDefault="001C0A54" w:rsidP="00102FC0">
      <w:pPr>
        <w:pStyle w:val="Title"/>
        <w:jc w:val="center"/>
      </w:pPr>
      <w:r>
        <w:t xml:space="preserve">Youth </w:t>
      </w:r>
      <w:r w:rsidR="00BF0418">
        <w:t xml:space="preserve">Allowance </w:t>
      </w:r>
      <w:r>
        <w:t xml:space="preserve">(other) </w:t>
      </w:r>
      <w:r w:rsidR="00736E1E">
        <w:t>(</w:t>
      </w:r>
      <w:proofErr w:type="gramStart"/>
      <w:r>
        <w:t>YA(</w:t>
      </w:r>
      <w:proofErr w:type="gramEnd"/>
      <w:r>
        <w:t>o)</w:t>
      </w:r>
      <w:r w:rsidR="00736E1E">
        <w:t xml:space="preserve">) </w:t>
      </w:r>
      <w:r w:rsidR="00BF0418">
        <w:t>– Payment Trends and Profile Report</w:t>
      </w:r>
      <w:r w:rsidR="00BF0418">
        <w:br/>
        <w:t>June 2015</w:t>
      </w:r>
    </w:p>
    <w:p w:rsidR="00BF0418" w:rsidRDefault="00BF0418" w:rsidP="00BF0418"/>
    <w:sdt>
      <w:sdtPr>
        <w:rPr>
          <w:rFonts w:asciiTheme="minorHAnsi" w:eastAsiaTheme="minorHAnsi" w:hAnsiTheme="minorHAnsi" w:cstheme="minorBidi"/>
          <w:b w:val="0"/>
          <w:bCs w:val="0"/>
          <w:color w:val="auto"/>
          <w:sz w:val="22"/>
          <w:szCs w:val="22"/>
          <w:lang w:val="en-AU" w:eastAsia="en-US"/>
        </w:rPr>
        <w:id w:val="-1170489447"/>
        <w:docPartObj>
          <w:docPartGallery w:val="Table of Contents"/>
          <w:docPartUnique/>
        </w:docPartObj>
      </w:sdtPr>
      <w:sdtEndPr>
        <w:rPr>
          <w:noProof/>
        </w:rPr>
      </w:sdtEndPr>
      <w:sdtContent>
        <w:p w:rsidR="00102FC0" w:rsidRDefault="00102FC0">
          <w:pPr>
            <w:pStyle w:val="TOCHeading"/>
          </w:pPr>
          <w:r>
            <w:t>Contents</w:t>
          </w:r>
        </w:p>
        <w:p w:rsidR="00E727BB" w:rsidRDefault="00102FC0">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32599270" w:history="1">
            <w:r w:rsidR="00E727BB" w:rsidRPr="00242557">
              <w:rPr>
                <w:rStyle w:val="Hyperlink"/>
                <w:noProof/>
              </w:rPr>
              <w:t>About Youth Allowance (other)</w:t>
            </w:r>
            <w:r w:rsidR="00E727BB">
              <w:rPr>
                <w:noProof/>
                <w:webHidden/>
              </w:rPr>
              <w:tab/>
            </w:r>
            <w:r w:rsidR="00E727BB">
              <w:rPr>
                <w:noProof/>
                <w:webHidden/>
              </w:rPr>
              <w:fldChar w:fldCharType="begin"/>
            </w:r>
            <w:r w:rsidR="00E727BB">
              <w:rPr>
                <w:noProof/>
                <w:webHidden/>
              </w:rPr>
              <w:instrText xml:space="preserve"> PAGEREF _Toc432599270 \h </w:instrText>
            </w:r>
            <w:r w:rsidR="00E727BB">
              <w:rPr>
                <w:noProof/>
                <w:webHidden/>
              </w:rPr>
            </w:r>
            <w:r w:rsidR="00E727BB">
              <w:rPr>
                <w:noProof/>
                <w:webHidden/>
              </w:rPr>
              <w:fldChar w:fldCharType="separate"/>
            </w:r>
            <w:r w:rsidR="00E727BB">
              <w:rPr>
                <w:noProof/>
                <w:webHidden/>
              </w:rPr>
              <w:t>2</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1" w:history="1">
            <w:r w:rsidR="00E727BB" w:rsidRPr="00242557">
              <w:rPr>
                <w:rStyle w:val="Hyperlink"/>
                <w:noProof/>
              </w:rPr>
              <w:t>Youth Allowance (other) Quick Facts</w:t>
            </w:r>
            <w:r w:rsidR="00E727BB">
              <w:rPr>
                <w:noProof/>
                <w:webHidden/>
              </w:rPr>
              <w:tab/>
            </w:r>
            <w:r w:rsidR="00E727BB">
              <w:rPr>
                <w:noProof/>
                <w:webHidden/>
              </w:rPr>
              <w:fldChar w:fldCharType="begin"/>
            </w:r>
            <w:r w:rsidR="00E727BB">
              <w:rPr>
                <w:noProof/>
                <w:webHidden/>
              </w:rPr>
              <w:instrText xml:space="preserve"> PAGEREF _Toc432599271 \h </w:instrText>
            </w:r>
            <w:r w:rsidR="00E727BB">
              <w:rPr>
                <w:noProof/>
                <w:webHidden/>
              </w:rPr>
            </w:r>
            <w:r w:rsidR="00E727BB">
              <w:rPr>
                <w:noProof/>
                <w:webHidden/>
              </w:rPr>
              <w:fldChar w:fldCharType="separate"/>
            </w:r>
            <w:r w:rsidR="00E727BB">
              <w:rPr>
                <w:noProof/>
                <w:webHidden/>
              </w:rPr>
              <w:t>2</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2" w:history="1">
            <w:r w:rsidR="00E727BB" w:rsidRPr="00242557">
              <w:rPr>
                <w:rStyle w:val="Hyperlink"/>
                <w:noProof/>
              </w:rPr>
              <w:t>Youth Allowance (other) Population – Time Series</w:t>
            </w:r>
            <w:r w:rsidR="00E727BB">
              <w:rPr>
                <w:noProof/>
                <w:webHidden/>
              </w:rPr>
              <w:tab/>
            </w:r>
            <w:r w:rsidR="00E727BB">
              <w:rPr>
                <w:noProof/>
                <w:webHidden/>
              </w:rPr>
              <w:fldChar w:fldCharType="begin"/>
            </w:r>
            <w:r w:rsidR="00E727BB">
              <w:rPr>
                <w:noProof/>
                <w:webHidden/>
              </w:rPr>
              <w:instrText xml:space="preserve"> PAGEREF _Toc432599272 \h </w:instrText>
            </w:r>
            <w:r w:rsidR="00E727BB">
              <w:rPr>
                <w:noProof/>
                <w:webHidden/>
              </w:rPr>
            </w:r>
            <w:r w:rsidR="00E727BB">
              <w:rPr>
                <w:noProof/>
                <w:webHidden/>
              </w:rPr>
              <w:fldChar w:fldCharType="separate"/>
            </w:r>
            <w:r w:rsidR="00E727BB">
              <w:rPr>
                <w:noProof/>
                <w:webHidden/>
              </w:rPr>
              <w:t>2</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3" w:history="1">
            <w:r w:rsidR="00E727BB" w:rsidRPr="00242557">
              <w:rPr>
                <w:rStyle w:val="Hyperlink"/>
                <w:noProof/>
              </w:rPr>
              <w:t>Youth Allowance (other) Expenditure</w:t>
            </w:r>
            <w:r w:rsidR="00E727BB">
              <w:rPr>
                <w:noProof/>
                <w:webHidden/>
              </w:rPr>
              <w:tab/>
            </w:r>
            <w:r w:rsidR="00E727BB">
              <w:rPr>
                <w:noProof/>
                <w:webHidden/>
              </w:rPr>
              <w:fldChar w:fldCharType="begin"/>
            </w:r>
            <w:r w:rsidR="00E727BB">
              <w:rPr>
                <w:noProof/>
                <w:webHidden/>
              </w:rPr>
              <w:instrText xml:space="preserve"> PAGEREF _Toc432599273 \h </w:instrText>
            </w:r>
            <w:r w:rsidR="00E727BB">
              <w:rPr>
                <w:noProof/>
                <w:webHidden/>
              </w:rPr>
            </w:r>
            <w:r w:rsidR="00E727BB">
              <w:rPr>
                <w:noProof/>
                <w:webHidden/>
              </w:rPr>
              <w:fldChar w:fldCharType="separate"/>
            </w:r>
            <w:r w:rsidR="00E727BB">
              <w:rPr>
                <w:noProof/>
                <w:webHidden/>
              </w:rPr>
              <w:t>3</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4" w:history="1">
            <w:r w:rsidR="00E727BB" w:rsidRPr="00242557">
              <w:rPr>
                <w:rStyle w:val="Hyperlink"/>
                <w:noProof/>
              </w:rPr>
              <w:t>Youth Allowance (other) by Age Group</w:t>
            </w:r>
            <w:r w:rsidR="00E727BB">
              <w:rPr>
                <w:noProof/>
                <w:webHidden/>
              </w:rPr>
              <w:tab/>
            </w:r>
            <w:r w:rsidR="00E727BB">
              <w:rPr>
                <w:noProof/>
                <w:webHidden/>
              </w:rPr>
              <w:fldChar w:fldCharType="begin"/>
            </w:r>
            <w:r w:rsidR="00E727BB">
              <w:rPr>
                <w:noProof/>
                <w:webHidden/>
              </w:rPr>
              <w:instrText xml:space="preserve"> PAGEREF _Toc432599274 \h </w:instrText>
            </w:r>
            <w:r w:rsidR="00E727BB">
              <w:rPr>
                <w:noProof/>
                <w:webHidden/>
              </w:rPr>
            </w:r>
            <w:r w:rsidR="00E727BB">
              <w:rPr>
                <w:noProof/>
                <w:webHidden/>
              </w:rPr>
              <w:fldChar w:fldCharType="separate"/>
            </w:r>
            <w:r w:rsidR="00E727BB">
              <w:rPr>
                <w:noProof/>
                <w:webHidden/>
              </w:rPr>
              <w:t>3</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5" w:history="1">
            <w:r w:rsidR="00E727BB" w:rsidRPr="00242557">
              <w:rPr>
                <w:rStyle w:val="Hyperlink"/>
                <w:noProof/>
              </w:rPr>
              <w:t>Youth Allowance (other) by Gender</w:t>
            </w:r>
            <w:r w:rsidR="00E727BB">
              <w:rPr>
                <w:noProof/>
                <w:webHidden/>
              </w:rPr>
              <w:tab/>
            </w:r>
            <w:r w:rsidR="00E727BB">
              <w:rPr>
                <w:noProof/>
                <w:webHidden/>
              </w:rPr>
              <w:fldChar w:fldCharType="begin"/>
            </w:r>
            <w:r w:rsidR="00E727BB">
              <w:rPr>
                <w:noProof/>
                <w:webHidden/>
              </w:rPr>
              <w:instrText xml:space="preserve"> PAGEREF _Toc432599275 \h </w:instrText>
            </w:r>
            <w:r w:rsidR="00E727BB">
              <w:rPr>
                <w:noProof/>
                <w:webHidden/>
              </w:rPr>
            </w:r>
            <w:r w:rsidR="00E727BB">
              <w:rPr>
                <w:noProof/>
                <w:webHidden/>
              </w:rPr>
              <w:fldChar w:fldCharType="separate"/>
            </w:r>
            <w:r w:rsidR="00E727BB">
              <w:rPr>
                <w:noProof/>
                <w:webHidden/>
              </w:rPr>
              <w:t>3</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6" w:history="1">
            <w:r w:rsidR="00E727BB" w:rsidRPr="00242557">
              <w:rPr>
                <w:rStyle w:val="Hyperlink"/>
                <w:noProof/>
              </w:rPr>
              <w:t>Youth Allowance (other) by Relationship Status</w:t>
            </w:r>
            <w:r w:rsidR="00E727BB">
              <w:rPr>
                <w:noProof/>
                <w:webHidden/>
              </w:rPr>
              <w:tab/>
            </w:r>
            <w:r w:rsidR="00E727BB">
              <w:rPr>
                <w:noProof/>
                <w:webHidden/>
              </w:rPr>
              <w:fldChar w:fldCharType="begin"/>
            </w:r>
            <w:r w:rsidR="00E727BB">
              <w:rPr>
                <w:noProof/>
                <w:webHidden/>
              </w:rPr>
              <w:instrText xml:space="preserve"> PAGEREF _Toc432599276 \h </w:instrText>
            </w:r>
            <w:r w:rsidR="00E727BB">
              <w:rPr>
                <w:noProof/>
                <w:webHidden/>
              </w:rPr>
            </w:r>
            <w:r w:rsidR="00E727BB">
              <w:rPr>
                <w:noProof/>
                <w:webHidden/>
              </w:rPr>
              <w:fldChar w:fldCharType="separate"/>
            </w:r>
            <w:r w:rsidR="00E727BB">
              <w:rPr>
                <w:noProof/>
                <w:webHidden/>
              </w:rPr>
              <w:t>3</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7" w:history="1">
            <w:r w:rsidR="00E727BB" w:rsidRPr="00242557">
              <w:rPr>
                <w:rStyle w:val="Hyperlink"/>
                <w:noProof/>
              </w:rPr>
              <w:t>Youth Allowance (other) by Indigenous Indicator</w:t>
            </w:r>
            <w:r w:rsidR="00E727BB">
              <w:rPr>
                <w:noProof/>
                <w:webHidden/>
              </w:rPr>
              <w:tab/>
            </w:r>
            <w:r w:rsidR="00E727BB">
              <w:rPr>
                <w:noProof/>
                <w:webHidden/>
              </w:rPr>
              <w:fldChar w:fldCharType="begin"/>
            </w:r>
            <w:r w:rsidR="00E727BB">
              <w:rPr>
                <w:noProof/>
                <w:webHidden/>
              </w:rPr>
              <w:instrText xml:space="preserve"> PAGEREF _Toc432599277 \h </w:instrText>
            </w:r>
            <w:r w:rsidR="00E727BB">
              <w:rPr>
                <w:noProof/>
                <w:webHidden/>
              </w:rPr>
            </w:r>
            <w:r w:rsidR="00E727BB">
              <w:rPr>
                <w:noProof/>
                <w:webHidden/>
              </w:rPr>
              <w:fldChar w:fldCharType="separate"/>
            </w:r>
            <w:r w:rsidR="00E727BB">
              <w:rPr>
                <w:noProof/>
                <w:webHidden/>
              </w:rPr>
              <w:t>4</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8" w:history="1">
            <w:r w:rsidR="00E727BB" w:rsidRPr="00242557">
              <w:rPr>
                <w:rStyle w:val="Hyperlink"/>
                <w:noProof/>
              </w:rPr>
              <w:t>Youth Allowance (other) by Rate of Payment</w:t>
            </w:r>
            <w:r w:rsidR="00E727BB">
              <w:rPr>
                <w:noProof/>
                <w:webHidden/>
              </w:rPr>
              <w:tab/>
            </w:r>
            <w:r w:rsidR="00E727BB">
              <w:rPr>
                <w:noProof/>
                <w:webHidden/>
              </w:rPr>
              <w:fldChar w:fldCharType="begin"/>
            </w:r>
            <w:r w:rsidR="00E727BB">
              <w:rPr>
                <w:noProof/>
                <w:webHidden/>
              </w:rPr>
              <w:instrText xml:space="preserve"> PAGEREF _Toc432599278 \h </w:instrText>
            </w:r>
            <w:r w:rsidR="00E727BB">
              <w:rPr>
                <w:noProof/>
                <w:webHidden/>
              </w:rPr>
            </w:r>
            <w:r w:rsidR="00E727BB">
              <w:rPr>
                <w:noProof/>
                <w:webHidden/>
              </w:rPr>
              <w:fldChar w:fldCharType="separate"/>
            </w:r>
            <w:r w:rsidR="00E727BB">
              <w:rPr>
                <w:noProof/>
                <w:webHidden/>
              </w:rPr>
              <w:t>4</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79" w:history="1">
            <w:r w:rsidR="00E727BB" w:rsidRPr="00242557">
              <w:rPr>
                <w:rStyle w:val="Hyperlink"/>
                <w:noProof/>
              </w:rPr>
              <w:t>Youth Allowance (other) by Earnings</w:t>
            </w:r>
            <w:r w:rsidR="00E727BB">
              <w:rPr>
                <w:noProof/>
                <w:webHidden/>
              </w:rPr>
              <w:tab/>
            </w:r>
            <w:r w:rsidR="00E727BB">
              <w:rPr>
                <w:noProof/>
                <w:webHidden/>
              </w:rPr>
              <w:fldChar w:fldCharType="begin"/>
            </w:r>
            <w:r w:rsidR="00E727BB">
              <w:rPr>
                <w:noProof/>
                <w:webHidden/>
              </w:rPr>
              <w:instrText xml:space="preserve"> PAGEREF _Toc432599279 \h </w:instrText>
            </w:r>
            <w:r w:rsidR="00E727BB">
              <w:rPr>
                <w:noProof/>
                <w:webHidden/>
              </w:rPr>
            </w:r>
            <w:r w:rsidR="00E727BB">
              <w:rPr>
                <w:noProof/>
                <w:webHidden/>
              </w:rPr>
              <w:fldChar w:fldCharType="separate"/>
            </w:r>
            <w:r w:rsidR="00E727BB">
              <w:rPr>
                <w:noProof/>
                <w:webHidden/>
              </w:rPr>
              <w:t>4</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0" w:history="1">
            <w:r w:rsidR="00E727BB" w:rsidRPr="00242557">
              <w:rPr>
                <w:rStyle w:val="Hyperlink"/>
                <w:noProof/>
              </w:rPr>
              <w:t>Youth Allowance (other) by Duration on Income Support</w:t>
            </w:r>
            <w:r w:rsidR="00E727BB">
              <w:rPr>
                <w:noProof/>
                <w:webHidden/>
              </w:rPr>
              <w:tab/>
            </w:r>
            <w:r w:rsidR="00E727BB">
              <w:rPr>
                <w:noProof/>
                <w:webHidden/>
              </w:rPr>
              <w:fldChar w:fldCharType="begin"/>
            </w:r>
            <w:r w:rsidR="00E727BB">
              <w:rPr>
                <w:noProof/>
                <w:webHidden/>
              </w:rPr>
              <w:instrText xml:space="preserve"> PAGEREF _Toc432599280 \h </w:instrText>
            </w:r>
            <w:r w:rsidR="00E727BB">
              <w:rPr>
                <w:noProof/>
                <w:webHidden/>
              </w:rPr>
            </w:r>
            <w:r w:rsidR="00E727BB">
              <w:rPr>
                <w:noProof/>
                <w:webHidden/>
              </w:rPr>
              <w:fldChar w:fldCharType="separate"/>
            </w:r>
            <w:r w:rsidR="00E727BB">
              <w:rPr>
                <w:noProof/>
                <w:webHidden/>
              </w:rPr>
              <w:t>5</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1" w:history="1">
            <w:r w:rsidR="00E727BB" w:rsidRPr="00242557">
              <w:rPr>
                <w:rStyle w:val="Hyperlink"/>
                <w:noProof/>
              </w:rPr>
              <w:t>Youth Allowance (other) by Remoteness Area</w:t>
            </w:r>
            <w:r w:rsidR="00E727BB">
              <w:rPr>
                <w:noProof/>
                <w:webHidden/>
              </w:rPr>
              <w:tab/>
            </w:r>
            <w:r w:rsidR="00E727BB">
              <w:rPr>
                <w:noProof/>
                <w:webHidden/>
              </w:rPr>
              <w:fldChar w:fldCharType="begin"/>
            </w:r>
            <w:r w:rsidR="00E727BB">
              <w:rPr>
                <w:noProof/>
                <w:webHidden/>
              </w:rPr>
              <w:instrText xml:space="preserve"> PAGEREF _Toc432599281 \h </w:instrText>
            </w:r>
            <w:r w:rsidR="00E727BB">
              <w:rPr>
                <w:noProof/>
                <w:webHidden/>
              </w:rPr>
            </w:r>
            <w:r w:rsidR="00E727BB">
              <w:rPr>
                <w:noProof/>
                <w:webHidden/>
              </w:rPr>
              <w:fldChar w:fldCharType="separate"/>
            </w:r>
            <w:r w:rsidR="00E727BB">
              <w:rPr>
                <w:noProof/>
                <w:webHidden/>
              </w:rPr>
              <w:t>5</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2" w:history="1">
            <w:r w:rsidR="00E727BB" w:rsidRPr="00242557">
              <w:rPr>
                <w:rStyle w:val="Hyperlink"/>
                <w:noProof/>
              </w:rPr>
              <w:t>Youth Allowance (other) by State</w:t>
            </w:r>
            <w:r w:rsidR="00E727BB">
              <w:rPr>
                <w:noProof/>
                <w:webHidden/>
              </w:rPr>
              <w:tab/>
            </w:r>
            <w:r w:rsidR="00E727BB">
              <w:rPr>
                <w:noProof/>
                <w:webHidden/>
              </w:rPr>
              <w:fldChar w:fldCharType="begin"/>
            </w:r>
            <w:r w:rsidR="00E727BB">
              <w:rPr>
                <w:noProof/>
                <w:webHidden/>
              </w:rPr>
              <w:instrText xml:space="preserve"> PAGEREF _Toc432599282 \h </w:instrText>
            </w:r>
            <w:r w:rsidR="00E727BB">
              <w:rPr>
                <w:noProof/>
                <w:webHidden/>
              </w:rPr>
            </w:r>
            <w:r w:rsidR="00E727BB">
              <w:rPr>
                <w:noProof/>
                <w:webHidden/>
              </w:rPr>
              <w:fldChar w:fldCharType="separate"/>
            </w:r>
            <w:r w:rsidR="00E727BB">
              <w:rPr>
                <w:noProof/>
                <w:webHidden/>
              </w:rPr>
              <w:t>5</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3" w:history="1">
            <w:r w:rsidR="00E727BB" w:rsidRPr="00242557">
              <w:rPr>
                <w:rStyle w:val="Hyperlink"/>
                <w:noProof/>
              </w:rPr>
              <w:t>Youth Allowance (other) by Activity</w:t>
            </w:r>
            <w:r w:rsidR="00E727BB">
              <w:rPr>
                <w:noProof/>
                <w:webHidden/>
              </w:rPr>
              <w:tab/>
            </w:r>
            <w:r w:rsidR="00E727BB">
              <w:rPr>
                <w:noProof/>
                <w:webHidden/>
              </w:rPr>
              <w:fldChar w:fldCharType="begin"/>
            </w:r>
            <w:r w:rsidR="00E727BB">
              <w:rPr>
                <w:noProof/>
                <w:webHidden/>
              </w:rPr>
              <w:instrText xml:space="preserve"> PAGEREF _Toc432599283 \h </w:instrText>
            </w:r>
            <w:r w:rsidR="00E727BB">
              <w:rPr>
                <w:noProof/>
                <w:webHidden/>
              </w:rPr>
            </w:r>
            <w:r w:rsidR="00E727BB">
              <w:rPr>
                <w:noProof/>
                <w:webHidden/>
              </w:rPr>
              <w:fldChar w:fldCharType="separate"/>
            </w:r>
            <w:r w:rsidR="00E727BB">
              <w:rPr>
                <w:noProof/>
                <w:webHidden/>
              </w:rPr>
              <w:t>6</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4" w:history="1">
            <w:r w:rsidR="00E727BB" w:rsidRPr="00242557">
              <w:rPr>
                <w:rStyle w:val="Hyperlink"/>
                <w:rFonts w:eastAsia="Times New Roman"/>
                <w:noProof/>
                <w:lang w:eastAsia="en-AU"/>
              </w:rPr>
              <w:t xml:space="preserve">Circumstances before receiving </w:t>
            </w:r>
            <w:r w:rsidR="00E727BB" w:rsidRPr="00242557">
              <w:rPr>
                <w:rStyle w:val="Hyperlink"/>
                <w:noProof/>
              </w:rPr>
              <w:t>Youth Allowance (other)</w:t>
            </w:r>
            <w:r w:rsidR="00E727BB">
              <w:rPr>
                <w:noProof/>
                <w:webHidden/>
              </w:rPr>
              <w:tab/>
            </w:r>
            <w:r w:rsidR="00E727BB">
              <w:rPr>
                <w:noProof/>
                <w:webHidden/>
              </w:rPr>
              <w:fldChar w:fldCharType="begin"/>
            </w:r>
            <w:r w:rsidR="00E727BB">
              <w:rPr>
                <w:noProof/>
                <w:webHidden/>
              </w:rPr>
              <w:instrText xml:space="preserve"> PAGEREF _Toc432599284 \h </w:instrText>
            </w:r>
            <w:r w:rsidR="00E727BB">
              <w:rPr>
                <w:noProof/>
                <w:webHidden/>
              </w:rPr>
            </w:r>
            <w:r w:rsidR="00E727BB">
              <w:rPr>
                <w:noProof/>
                <w:webHidden/>
              </w:rPr>
              <w:fldChar w:fldCharType="separate"/>
            </w:r>
            <w:r w:rsidR="00E727BB">
              <w:rPr>
                <w:noProof/>
                <w:webHidden/>
              </w:rPr>
              <w:t>6</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5" w:history="1">
            <w:r w:rsidR="00E727BB" w:rsidRPr="00242557">
              <w:rPr>
                <w:rStyle w:val="Hyperlink"/>
                <w:rFonts w:eastAsia="Times New Roman"/>
                <w:noProof/>
                <w:lang w:eastAsia="en-AU"/>
              </w:rPr>
              <w:t xml:space="preserve">Circumstances after receiving </w:t>
            </w:r>
            <w:r w:rsidR="00E727BB" w:rsidRPr="00242557">
              <w:rPr>
                <w:rStyle w:val="Hyperlink"/>
                <w:noProof/>
              </w:rPr>
              <w:t>Youth Allowance (other)</w:t>
            </w:r>
            <w:r w:rsidR="00E727BB">
              <w:rPr>
                <w:noProof/>
                <w:webHidden/>
              </w:rPr>
              <w:tab/>
            </w:r>
            <w:r w:rsidR="00E727BB">
              <w:rPr>
                <w:noProof/>
                <w:webHidden/>
              </w:rPr>
              <w:fldChar w:fldCharType="begin"/>
            </w:r>
            <w:r w:rsidR="00E727BB">
              <w:rPr>
                <w:noProof/>
                <w:webHidden/>
              </w:rPr>
              <w:instrText xml:space="preserve"> PAGEREF _Toc432599285 \h </w:instrText>
            </w:r>
            <w:r w:rsidR="00E727BB">
              <w:rPr>
                <w:noProof/>
                <w:webHidden/>
              </w:rPr>
            </w:r>
            <w:r w:rsidR="00E727BB">
              <w:rPr>
                <w:noProof/>
                <w:webHidden/>
              </w:rPr>
              <w:fldChar w:fldCharType="separate"/>
            </w:r>
            <w:r w:rsidR="00E727BB">
              <w:rPr>
                <w:noProof/>
                <w:webHidden/>
              </w:rPr>
              <w:t>6</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6" w:history="1">
            <w:r w:rsidR="00E727BB" w:rsidRPr="00242557">
              <w:rPr>
                <w:rStyle w:val="Hyperlink"/>
                <w:noProof/>
              </w:rPr>
              <w:t>Data Descriptions</w:t>
            </w:r>
            <w:r w:rsidR="00E727BB">
              <w:rPr>
                <w:noProof/>
                <w:webHidden/>
              </w:rPr>
              <w:tab/>
            </w:r>
            <w:r w:rsidR="00E727BB">
              <w:rPr>
                <w:noProof/>
                <w:webHidden/>
              </w:rPr>
              <w:fldChar w:fldCharType="begin"/>
            </w:r>
            <w:r w:rsidR="00E727BB">
              <w:rPr>
                <w:noProof/>
                <w:webHidden/>
              </w:rPr>
              <w:instrText xml:space="preserve"> PAGEREF _Toc432599286 \h </w:instrText>
            </w:r>
            <w:r w:rsidR="00E727BB">
              <w:rPr>
                <w:noProof/>
                <w:webHidden/>
              </w:rPr>
            </w:r>
            <w:r w:rsidR="00E727BB">
              <w:rPr>
                <w:noProof/>
                <w:webHidden/>
              </w:rPr>
              <w:fldChar w:fldCharType="separate"/>
            </w:r>
            <w:r w:rsidR="00E727BB">
              <w:rPr>
                <w:noProof/>
                <w:webHidden/>
              </w:rPr>
              <w:t>7</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7" w:history="1">
            <w:r w:rsidR="00E727BB" w:rsidRPr="00242557">
              <w:rPr>
                <w:rStyle w:val="Hyperlink"/>
                <w:noProof/>
              </w:rPr>
              <w:t>Glossary</w:t>
            </w:r>
            <w:r w:rsidR="00E727BB">
              <w:rPr>
                <w:noProof/>
                <w:webHidden/>
              </w:rPr>
              <w:tab/>
            </w:r>
            <w:r w:rsidR="00E727BB">
              <w:rPr>
                <w:noProof/>
                <w:webHidden/>
              </w:rPr>
              <w:fldChar w:fldCharType="begin"/>
            </w:r>
            <w:r w:rsidR="00E727BB">
              <w:rPr>
                <w:noProof/>
                <w:webHidden/>
              </w:rPr>
              <w:instrText xml:space="preserve"> PAGEREF _Toc432599287 \h </w:instrText>
            </w:r>
            <w:r w:rsidR="00E727BB">
              <w:rPr>
                <w:noProof/>
                <w:webHidden/>
              </w:rPr>
            </w:r>
            <w:r w:rsidR="00E727BB">
              <w:rPr>
                <w:noProof/>
                <w:webHidden/>
              </w:rPr>
              <w:fldChar w:fldCharType="separate"/>
            </w:r>
            <w:r w:rsidR="00E727BB">
              <w:rPr>
                <w:noProof/>
                <w:webHidden/>
              </w:rPr>
              <w:t>7</w:t>
            </w:r>
            <w:r w:rsidR="00E727BB">
              <w:rPr>
                <w:noProof/>
                <w:webHidden/>
              </w:rPr>
              <w:fldChar w:fldCharType="end"/>
            </w:r>
          </w:hyperlink>
        </w:p>
        <w:p w:rsidR="00E727BB" w:rsidRDefault="00FF14C7">
          <w:pPr>
            <w:pStyle w:val="TOC2"/>
            <w:tabs>
              <w:tab w:val="right" w:leader="dot" w:pos="9016"/>
            </w:tabs>
            <w:rPr>
              <w:rFonts w:eastAsiaTheme="minorEastAsia"/>
              <w:noProof/>
              <w:lang w:eastAsia="en-AU"/>
            </w:rPr>
          </w:pPr>
          <w:hyperlink w:anchor="_Toc432599288" w:history="1">
            <w:r w:rsidR="00E727BB" w:rsidRPr="00242557">
              <w:rPr>
                <w:rStyle w:val="Hyperlink"/>
                <w:noProof/>
              </w:rPr>
              <w:t>Further Information</w:t>
            </w:r>
            <w:r w:rsidR="00E727BB">
              <w:rPr>
                <w:noProof/>
                <w:webHidden/>
              </w:rPr>
              <w:tab/>
            </w:r>
            <w:r w:rsidR="00E727BB">
              <w:rPr>
                <w:noProof/>
                <w:webHidden/>
              </w:rPr>
              <w:fldChar w:fldCharType="begin"/>
            </w:r>
            <w:r w:rsidR="00E727BB">
              <w:rPr>
                <w:noProof/>
                <w:webHidden/>
              </w:rPr>
              <w:instrText xml:space="preserve"> PAGEREF _Toc432599288 \h </w:instrText>
            </w:r>
            <w:r w:rsidR="00E727BB">
              <w:rPr>
                <w:noProof/>
                <w:webHidden/>
              </w:rPr>
            </w:r>
            <w:r w:rsidR="00E727BB">
              <w:rPr>
                <w:noProof/>
                <w:webHidden/>
              </w:rPr>
              <w:fldChar w:fldCharType="separate"/>
            </w:r>
            <w:r w:rsidR="00E727BB">
              <w:rPr>
                <w:noProof/>
                <w:webHidden/>
              </w:rPr>
              <w:t>8</w:t>
            </w:r>
            <w:r w:rsidR="00E727BB">
              <w:rPr>
                <w:noProof/>
                <w:webHidden/>
              </w:rPr>
              <w:fldChar w:fldCharType="end"/>
            </w:r>
          </w:hyperlink>
        </w:p>
        <w:p w:rsidR="00BF0418" w:rsidRDefault="00102FC0" w:rsidP="00BF0418">
          <w:r>
            <w:rPr>
              <w:b/>
              <w:bCs/>
              <w:noProof/>
            </w:rPr>
            <w:fldChar w:fldCharType="end"/>
          </w:r>
        </w:p>
      </w:sdtContent>
    </w:sdt>
    <w:p w:rsidR="004E5AD6" w:rsidRDefault="004E5AD6">
      <w:r>
        <w:br w:type="page"/>
      </w:r>
    </w:p>
    <w:p w:rsidR="00996ABB" w:rsidRDefault="00BF0418" w:rsidP="00BF0418">
      <w:pPr>
        <w:pStyle w:val="Heading2"/>
      </w:pPr>
      <w:bookmarkStart w:id="0" w:name="_Toc432599270"/>
      <w:r>
        <w:lastRenderedPageBreak/>
        <w:t xml:space="preserve">About </w:t>
      </w:r>
      <w:r w:rsidR="004E5AD6">
        <w:t xml:space="preserve">Youth </w:t>
      </w:r>
      <w:r>
        <w:t>Allowance</w:t>
      </w:r>
      <w:r w:rsidR="004E5AD6">
        <w:t xml:space="preserve"> (other)</w:t>
      </w:r>
      <w:bookmarkEnd w:id="0"/>
    </w:p>
    <w:p w:rsidR="00736E1E" w:rsidRPr="00996ABB" w:rsidRDefault="004E5AD6" w:rsidP="00996ABB">
      <w:pPr>
        <w:rPr>
          <w:rFonts w:asciiTheme="majorHAnsi" w:eastAsiaTheme="majorEastAsia" w:hAnsiTheme="majorHAnsi" w:cstheme="majorBidi"/>
          <w:color w:val="4F81BD" w:themeColor="accent1"/>
          <w:sz w:val="26"/>
          <w:szCs w:val="26"/>
        </w:rPr>
      </w:pPr>
      <w:r w:rsidRPr="004E5AD6">
        <w:t>Youth Allowance (other) is the primary income support payment for young people aged under 22 years who are looking for paid work, undertaking other activities to improve their employment prospects (such as study or training) or temporarily incapacitated for work or study.</w:t>
      </w:r>
    </w:p>
    <w:p w:rsidR="00736E1E" w:rsidRDefault="004E5AD6" w:rsidP="00736E1E">
      <w:pPr>
        <w:pStyle w:val="Heading2"/>
      </w:pPr>
      <w:bookmarkStart w:id="1" w:name="_Toc432599271"/>
      <w:r>
        <w:t>Youth Allowance (other)</w:t>
      </w:r>
      <w:r w:rsidR="00736E1E">
        <w:t xml:space="preserve"> Quick Facts</w:t>
      </w:r>
      <w:bookmarkEnd w:id="1"/>
    </w:p>
    <w:p w:rsidR="00736E1E" w:rsidRDefault="004E5AD6" w:rsidP="00736E1E">
      <w:r w:rsidRPr="004E5AD6">
        <w:t xml:space="preserve">The number of recipients with a partial capacity to work increased by 7.6 % from June 2014, and by 26.6% from June 2013. While principal carer numbers have increased by 43 recipients or 53.8%, the proportion has remained stable at 0.1% of </w:t>
      </w:r>
      <w:proofErr w:type="gramStart"/>
      <w:r w:rsidRPr="004E5AD6">
        <w:t>YA(</w:t>
      </w:r>
      <w:proofErr w:type="gramEnd"/>
      <w:r w:rsidRPr="004E5AD6">
        <w:t>o).</w:t>
      </w:r>
    </w:p>
    <w:tbl>
      <w:tblPr>
        <w:tblW w:w="8379" w:type="dxa"/>
        <w:tblInd w:w="93" w:type="dxa"/>
        <w:tblLook w:val="04A0" w:firstRow="1" w:lastRow="0" w:firstColumn="1" w:lastColumn="0" w:noHBand="0" w:noVBand="1"/>
      </w:tblPr>
      <w:tblGrid>
        <w:gridCol w:w="2283"/>
        <w:gridCol w:w="993"/>
        <w:gridCol w:w="992"/>
        <w:gridCol w:w="992"/>
        <w:gridCol w:w="1559"/>
        <w:gridCol w:w="1560"/>
      </w:tblGrid>
      <w:tr w:rsidR="004E5AD6" w:rsidRPr="004E5AD6" w:rsidTr="004E5AD6">
        <w:trPr>
          <w:trHeight w:val="300"/>
        </w:trPr>
        <w:tc>
          <w:tcPr>
            <w:tcW w:w="837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5AD6" w:rsidRPr="004E5AD6" w:rsidRDefault="004E5AD6" w:rsidP="004E5AD6">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1: Youth Allowance (other) Quick Facts</w:t>
            </w:r>
          </w:p>
        </w:tc>
      </w:tr>
      <w:tr w:rsidR="004E5AD6" w:rsidRPr="004E5AD6" w:rsidTr="004E5AD6">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AD6" w:rsidRPr="004E5AD6" w:rsidRDefault="004E5AD6" w:rsidP="004E5AD6">
            <w:pPr>
              <w:spacing w:after="0" w:line="240" w:lineRule="auto"/>
              <w:rPr>
                <w:rFonts w:ascii="Calibri" w:eastAsia="Times New Roman" w:hAnsi="Calibri" w:cs="Times New Roman"/>
                <w:b/>
                <w:bCs/>
                <w:color w:val="000000"/>
                <w:lang w:eastAsia="en-AU"/>
              </w:rPr>
            </w:pPr>
            <w:r w:rsidRPr="004E5AD6">
              <w:rPr>
                <w:rFonts w:ascii="Calibri" w:eastAsia="Times New Roman" w:hAnsi="Calibri" w:cs="Times New Roman"/>
                <w:b/>
                <w:bCs/>
                <w:color w:val="000000"/>
                <w:lang w:eastAsia="en-AU"/>
              </w:rPr>
              <w:t>Quick Facts</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5AD6" w:rsidRPr="004E5AD6" w:rsidRDefault="004E5AD6" w:rsidP="004E5AD6">
            <w:pPr>
              <w:spacing w:after="0" w:line="240" w:lineRule="auto"/>
              <w:jc w:val="center"/>
              <w:rPr>
                <w:rFonts w:ascii="Calibri" w:eastAsia="Times New Roman" w:hAnsi="Calibri" w:cs="Times New Roman"/>
                <w:b/>
                <w:bCs/>
                <w:color w:val="000000"/>
                <w:lang w:eastAsia="en-AU"/>
              </w:rPr>
            </w:pPr>
            <w:r w:rsidRPr="004E5AD6">
              <w:rPr>
                <w:rFonts w:ascii="Calibri" w:eastAsia="Times New Roman" w:hAnsi="Calibri" w:cs="Times New Roman"/>
                <w:b/>
                <w:bCs/>
                <w:color w:val="000000"/>
                <w:lang w:eastAsia="en-AU"/>
              </w:rPr>
              <w:t>Jun-13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5AD6" w:rsidRPr="004E5AD6" w:rsidRDefault="004E5AD6" w:rsidP="004E5AD6">
            <w:pPr>
              <w:spacing w:after="0" w:line="240" w:lineRule="auto"/>
              <w:jc w:val="center"/>
              <w:rPr>
                <w:rFonts w:ascii="Calibri" w:eastAsia="Times New Roman" w:hAnsi="Calibri" w:cs="Times New Roman"/>
                <w:b/>
                <w:bCs/>
                <w:color w:val="000000"/>
                <w:lang w:eastAsia="en-AU"/>
              </w:rPr>
            </w:pPr>
            <w:r w:rsidRPr="004E5AD6">
              <w:rPr>
                <w:rFonts w:ascii="Calibri" w:eastAsia="Times New Roman" w:hAnsi="Calibri" w:cs="Times New Roman"/>
                <w:b/>
                <w:bCs/>
                <w:color w:val="000000"/>
                <w:lang w:eastAsia="en-AU"/>
              </w:rPr>
              <w:t>Jun-14</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5AD6" w:rsidRPr="004E5AD6" w:rsidRDefault="004E5AD6" w:rsidP="004E5AD6">
            <w:pPr>
              <w:spacing w:after="0" w:line="240" w:lineRule="auto"/>
              <w:jc w:val="center"/>
              <w:rPr>
                <w:rFonts w:ascii="Calibri" w:eastAsia="Times New Roman" w:hAnsi="Calibri" w:cs="Times New Roman"/>
                <w:b/>
                <w:bCs/>
                <w:color w:val="000000"/>
                <w:lang w:eastAsia="en-AU"/>
              </w:rPr>
            </w:pPr>
            <w:r w:rsidRPr="004E5AD6">
              <w:rPr>
                <w:rFonts w:ascii="Calibri" w:eastAsia="Times New Roman" w:hAnsi="Calibri" w:cs="Times New Roman"/>
                <w:b/>
                <w:bCs/>
                <w:color w:val="000000"/>
                <w:lang w:eastAsia="en-AU"/>
              </w:rPr>
              <w:t>Jun-15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E5AD6" w:rsidRPr="004E5AD6" w:rsidRDefault="004E5AD6" w:rsidP="004E5AD6">
            <w:pPr>
              <w:spacing w:after="0" w:line="240" w:lineRule="auto"/>
              <w:jc w:val="center"/>
              <w:rPr>
                <w:rFonts w:ascii="Calibri" w:eastAsia="Times New Roman" w:hAnsi="Calibri" w:cs="Times New Roman"/>
                <w:b/>
                <w:bCs/>
                <w:color w:val="000000"/>
                <w:lang w:eastAsia="en-AU"/>
              </w:rPr>
            </w:pPr>
            <w:r w:rsidRPr="004E5AD6">
              <w:rPr>
                <w:rFonts w:ascii="Calibri" w:eastAsia="Times New Roman" w:hAnsi="Calibri" w:cs="Times New Roman"/>
                <w:b/>
                <w:bCs/>
                <w:color w:val="000000"/>
                <w:lang w:eastAsia="en-AU"/>
              </w:rPr>
              <w:t>Change Jun-14 to Jun-15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E5AD6" w:rsidRPr="004E5AD6" w:rsidRDefault="004E5AD6" w:rsidP="004E5AD6">
            <w:pPr>
              <w:spacing w:after="0" w:line="240" w:lineRule="auto"/>
              <w:jc w:val="center"/>
              <w:rPr>
                <w:rFonts w:ascii="Calibri" w:eastAsia="Times New Roman" w:hAnsi="Calibri" w:cs="Times New Roman"/>
                <w:b/>
                <w:bCs/>
                <w:color w:val="000000"/>
                <w:lang w:eastAsia="en-AU"/>
              </w:rPr>
            </w:pPr>
            <w:r w:rsidRPr="004E5AD6">
              <w:rPr>
                <w:rFonts w:ascii="Calibri" w:eastAsia="Times New Roman" w:hAnsi="Calibri" w:cs="Times New Roman"/>
                <w:b/>
                <w:bCs/>
                <w:color w:val="000000"/>
                <w:lang w:eastAsia="en-AU"/>
              </w:rPr>
              <w:t>Change Jun-13 to Jun-15</w:t>
            </w:r>
          </w:p>
        </w:tc>
      </w:tr>
      <w:tr w:rsidR="004E5AD6" w:rsidRPr="004E5AD6" w:rsidTr="004E5AD6">
        <w:trPr>
          <w:trHeight w:val="40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4E5AD6" w:rsidRPr="004E5AD6" w:rsidRDefault="004E5AD6" w:rsidP="004E5AD6">
            <w:pPr>
              <w:spacing w:after="0" w:line="240" w:lineRule="auto"/>
              <w:rPr>
                <w:rFonts w:ascii="Calibri" w:eastAsia="Times New Roman" w:hAnsi="Calibri" w:cs="Times New Roman"/>
                <w:b/>
                <w:bCs/>
                <w:color w:val="000000"/>
                <w:lang w:eastAsia="en-AU"/>
              </w:rPr>
            </w:pPr>
          </w:p>
        </w:tc>
        <w:tc>
          <w:tcPr>
            <w:tcW w:w="993" w:type="dxa"/>
            <w:vMerge/>
            <w:tcBorders>
              <w:top w:val="nil"/>
              <w:left w:val="single" w:sz="4" w:space="0" w:color="auto"/>
              <w:bottom w:val="single" w:sz="4" w:space="0" w:color="auto"/>
              <w:right w:val="single" w:sz="4" w:space="0" w:color="auto"/>
            </w:tcBorders>
            <w:vAlign w:val="center"/>
            <w:hideMark/>
          </w:tcPr>
          <w:p w:rsidR="004E5AD6" w:rsidRPr="004E5AD6" w:rsidRDefault="004E5AD6" w:rsidP="004E5AD6">
            <w:pPr>
              <w:spacing w:after="0" w:line="240" w:lineRule="auto"/>
              <w:rPr>
                <w:rFonts w:ascii="Calibri" w:eastAsia="Times New Roman" w:hAnsi="Calibri" w:cs="Times New Roman"/>
                <w:b/>
                <w:bCs/>
                <w:color w:val="000000"/>
                <w:lang w:eastAsia="en-AU"/>
              </w:rPr>
            </w:pPr>
          </w:p>
        </w:tc>
        <w:tc>
          <w:tcPr>
            <w:tcW w:w="992" w:type="dxa"/>
            <w:vMerge/>
            <w:tcBorders>
              <w:top w:val="nil"/>
              <w:left w:val="single" w:sz="4" w:space="0" w:color="auto"/>
              <w:bottom w:val="single" w:sz="4" w:space="0" w:color="auto"/>
              <w:right w:val="single" w:sz="4" w:space="0" w:color="auto"/>
            </w:tcBorders>
            <w:vAlign w:val="center"/>
            <w:hideMark/>
          </w:tcPr>
          <w:p w:rsidR="004E5AD6" w:rsidRPr="004E5AD6" w:rsidRDefault="004E5AD6" w:rsidP="004E5AD6">
            <w:pPr>
              <w:spacing w:after="0" w:line="240" w:lineRule="auto"/>
              <w:rPr>
                <w:rFonts w:ascii="Calibri" w:eastAsia="Times New Roman" w:hAnsi="Calibri" w:cs="Times New Roman"/>
                <w:b/>
                <w:bCs/>
                <w:color w:val="000000"/>
                <w:lang w:eastAsia="en-AU"/>
              </w:rPr>
            </w:pPr>
          </w:p>
        </w:tc>
        <w:tc>
          <w:tcPr>
            <w:tcW w:w="992" w:type="dxa"/>
            <w:vMerge/>
            <w:tcBorders>
              <w:top w:val="nil"/>
              <w:left w:val="single" w:sz="4" w:space="0" w:color="auto"/>
              <w:bottom w:val="single" w:sz="4" w:space="0" w:color="auto"/>
              <w:right w:val="single" w:sz="4" w:space="0" w:color="auto"/>
            </w:tcBorders>
            <w:vAlign w:val="center"/>
            <w:hideMark/>
          </w:tcPr>
          <w:p w:rsidR="004E5AD6" w:rsidRPr="004E5AD6" w:rsidRDefault="004E5AD6" w:rsidP="004E5AD6">
            <w:pPr>
              <w:spacing w:after="0" w:line="240" w:lineRule="auto"/>
              <w:rPr>
                <w:rFonts w:ascii="Calibri" w:eastAsia="Times New Roman" w:hAnsi="Calibri" w:cs="Times New Roman"/>
                <w:b/>
                <w:bCs/>
                <w:color w:val="000000"/>
                <w:lang w:eastAsia="en-AU"/>
              </w:rPr>
            </w:pPr>
          </w:p>
        </w:tc>
        <w:tc>
          <w:tcPr>
            <w:tcW w:w="1559" w:type="dxa"/>
            <w:vMerge/>
            <w:tcBorders>
              <w:top w:val="nil"/>
              <w:left w:val="single" w:sz="4" w:space="0" w:color="auto"/>
              <w:bottom w:val="single" w:sz="4" w:space="0" w:color="auto"/>
              <w:right w:val="single" w:sz="4" w:space="0" w:color="auto"/>
            </w:tcBorders>
            <w:vAlign w:val="center"/>
            <w:hideMark/>
          </w:tcPr>
          <w:p w:rsidR="004E5AD6" w:rsidRPr="004E5AD6" w:rsidRDefault="004E5AD6" w:rsidP="004E5AD6">
            <w:pPr>
              <w:spacing w:after="0" w:line="240" w:lineRule="auto"/>
              <w:rPr>
                <w:rFonts w:ascii="Calibri" w:eastAsia="Times New Roman" w:hAnsi="Calibri" w:cs="Times New Roman"/>
                <w:b/>
                <w:bCs/>
                <w:color w:val="000000"/>
                <w:lang w:eastAsia="en-AU"/>
              </w:rPr>
            </w:pPr>
          </w:p>
        </w:tc>
        <w:tc>
          <w:tcPr>
            <w:tcW w:w="1560" w:type="dxa"/>
            <w:vMerge/>
            <w:tcBorders>
              <w:top w:val="nil"/>
              <w:left w:val="single" w:sz="4" w:space="0" w:color="auto"/>
              <w:bottom w:val="single" w:sz="4" w:space="0" w:color="auto"/>
              <w:right w:val="single" w:sz="4" w:space="0" w:color="auto"/>
            </w:tcBorders>
            <w:vAlign w:val="center"/>
            <w:hideMark/>
          </w:tcPr>
          <w:p w:rsidR="004E5AD6" w:rsidRPr="004E5AD6" w:rsidRDefault="004E5AD6" w:rsidP="004E5AD6">
            <w:pPr>
              <w:spacing w:after="0" w:line="240" w:lineRule="auto"/>
              <w:rPr>
                <w:rFonts w:ascii="Calibri" w:eastAsia="Times New Roman" w:hAnsi="Calibri" w:cs="Times New Roman"/>
                <w:b/>
                <w:bCs/>
                <w:color w:val="000000"/>
                <w:lang w:eastAsia="en-AU"/>
              </w:rPr>
            </w:pPr>
          </w:p>
        </w:tc>
      </w:tr>
      <w:tr w:rsidR="004E5AD6" w:rsidRPr="004E5AD6" w:rsidTr="004E5AD6">
        <w:trPr>
          <w:trHeight w:val="300"/>
        </w:trPr>
        <w:tc>
          <w:tcPr>
            <w:tcW w:w="2283" w:type="dxa"/>
            <w:tcBorders>
              <w:top w:val="nil"/>
              <w:left w:val="single" w:sz="4" w:space="0" w:color="auto"/>
              <w:bottom w:val="single" w:sz="4" w:space="0" w:color="auto"/>
              <w:right w:val="single" w:sz="4" w:space="0" w:color="000000"/>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Total Population</w:t>
            </w:r>
          </w:p>
        </w:tc>
        <w:tc>
          <w:tcPr>
            <w:tcW w:w="993"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113,840</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113,998</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112,620</w:t>
            </w:r>
          </w:p>
        </w:tc>
        <w:tc>
          <w:tcPr>
            <w:tcW w:w="1559"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-1.2%</w:t>
            </w:r>
          </w:p>
        </w:tc>
        <w:tc>
          <w:tcPr>
            <w:tcW w:w="156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-1.1%</w:t>
            </w:r>
          </w:p>
        </w:tc>
      </w:tr>
      <w:tr w:rsidR="004E5AD6" w:rsidRPr="004E5AD6" w:rsidTr="004E5AD6">
        <w:trPr>
          <w:trHeight w:val="300"/>
        </w:trPr>
        <w:tc>
          <w:tcPr>
            <w:tcW w:w="2283" w:type="dxa"/>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4E5AD6" w:rsidRPr="004E5AD6" w:rsidRDefault="004E5AD6" w:rsidP="004E5A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Duration - </w:t>
            </w:r>
            <w:r w:rsidRPr="004E5AD6">
              <w:rPr>
                <w:rFonts w:ascii="Calibri" w:eastAsia="Times New Roman" w:hAnsi="Calibri" w:cs="Times New Roman"/>
                <w:color w:val="000000"/>
                <w:lang w:eastAsia="en-AU"/>
              </w:rPr>
              <w:t>Short-term</w:t>
            </w:r>
          </w:p>
        </w:tc>
        <w:tc>
          <w:tcPr>
            <w:tcW w:w="993"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47,385</w:t>
            </w:r>
          </w:p>
        </w:tc>
        <w:tc>
          <w:tcPr>
            <w:tcW w:w="992"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48,959</w:t>
            </w:r>
          </w:p>
        </w:tc>
        <w:tc>
          <w:tcPr>
            <w:tcW w:w="992"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46,906</w:t>
            </w:r>
          </w:p>
        </w:tc>
        <w:tc>
          <w:tcPr>
            <w:tcW w:w="1559"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-4.2%</w:t>
            </w:r>
          </w:p>
        </w:tc>
        <w:tc>
          <w:tcPr>
            <w:tcW w:w="1560"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-1.0%</w:t>
            </w:r>
          </w:p>
        </w:tc>
      </w:tr>
      <w:tr w:rsidR="004E5AD6" w:rsidRPr="004E5AD6" w:rsidTr="004E5AD6">
        <w:trPr>
          <w:trHeight w:val="300"/>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Duration - </w:t>
            </w:r>
            <w:r w:rsidRPr="004E5AD6">
              <w:rPr>
                <w:rFonts w:ascii="Calibri" w:eastAsia="Times New Roman" w:hAnsi="Calibri" w:cs="Times New Roman"/>
                <w:color w:val="000000"/>
                <w:lang w:eastAsia="en-AU"/>
              </w:rPr>
              <w:t>Long-term</w:t>
            </w:r>
          </w:p>
        </w:tc>
        <w:tc>
          <w:tcPr>
            <w:tcW w:w="993"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66,455</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65,039</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65,714</w:t>
            </w:r>
          </w:p>
        </w:tc>
        <w:tc>
          <w:tcPr>
            <w:tcW w:w="1559"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1.0%</w:t>
            </w:r>
          </w:p>
        </w:tc>
        <w:tc>
          <w:tcPr>
            <w:tcW w:w="156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-1.1%</w:t>
            </w:r>
          </w:p>
        </w:tc>
      </w:tr>
      <w:tr w:rsidR="004E5AD6" w:rsidRPr="004E5AD6" w:rsidTr="004E5AD6">
        <w:trPr>
          <w:trHeight w:val="300"/>
        </w:trPr>
        <w:tc>
          <w:tcPr>
            <w:tcW w:w="2283" w:type="dxa"/>
            <w:tcBorders>
              <w:top w:val="single" w:sz="4" w:space="0" w:color="auto"/>
              <w:left w:val="single" w:sz="4" w:space="0" w:color="auto"/>
              <w:bottom w:val="nil"/>
              <w:right w:val="single" w:sz="4" w:space="0" w:color="000000"/>
            </w:tcBorders>
            <w:shd w:val="clear" w:color="000000" w:fill="DCE6F1"/>
            <w:noWrap/>
            <w:vAlign w:val="bottom"/>
            <w:hideMark/>
          </w:tcPr>
          <w:p w:rsidR="004E5AD6" w:rsidRPr="004E5AD6" w:rsidRDefault="004E5AD6" w:rsidP="004E5AD6">
            <w:pPr>
              <w:spacing w:after="0" w:line="240" w:lineRule="auto"/>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Nil Earnings</w:t>
            </w:r>
          </w:p>
        </w:tc>
        <w:tc>
          <w:tcPr>
            <w:tcW w:w="993"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93,171</w:t>
            </w:r>
          </w:p>
        </w:tc>
        <w:tc>
          <w:tcPr>
            <w:tcW w:w="992"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92,862</w:t>
            </w:r>
          </w:p>
        </w:tc>
        <w:tc>
          <w:tcPr>
            <w:tcW w:w="992"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91,902</w:t>
            </w:r>
          </w:p>
        </w:tc>
        <w:tc>
          <w:tcPr>
            <w:tcW w:w="1559"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-1.0%</w:t>
            </w:r>
          </w:p>
        </w:tc>
        <w:tc>
          <w:tcPr>
            <w:tcW w:w="1560"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-1.4%</w:t>
            </w:r>
          </w:p>
        </w:tc>
      </w:tr>
      <w:tr w:rsidR="004E5AD6" w:rsidRPr="004E5AD6" w:rsidTr="004E5AD6">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Earnings</w:t>
            </w:r>
          </w:p>
        </w:tc>
        <w:tc>
          <w:tcPr>
            <w:tcW w:w="993"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20,669</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21,136</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20,718</w:t>
            </w:r>
          </w:p>
        </w:tc>
        <w:tc>
          <w:tcPr>
            <w:tcW w:w="1559"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-2.0%</w:t>
            </w:r>
          </w:p>
        </w:tc>
        <w:tc>
          <w:tcPr>
            <w:tcW w:w="156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0.2%</w:t>
            </w:r>
          </w:p>
        </w:tc>
      </w:tr>
      <w:tr w:rsidR="004E5AD6" w:rsidRPr="004E5AD6" w:rsidTr="004E5AD6">
        <w:trPr>
          <w:trHeight w:val="300"/>
        </w:trPr>
        <w:tc>
          <w:tcPr>
            <w:tcW w:w="2283"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rsidR="004E5AD6" w:rsidRPr="004E5AD6" w:rsidRDefault="004E5AD6" w:rsidP="004E5AD6">
            <w:pPr>
              <w:spacing w:after="0" w:line="240" w:lineRule="auto"/>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Partial Capacity</w:t>
            </w:r>
          </w:p>
        </w:tc>
        <w:tc>
          <w:tcPr>
            <w:tcW w:w="993" w:type="dxa"/>
            <w:tcBorders>
              <w:top w:val="nil"/>
              <w:left w:val="nil"/>
              <w:bottom w:val="single" w:sz="4" w:space="0" w:color="auto"/>
              <w:right w:val="single" w:sz="4" w:space="0" w:color="auto"/>
            </w:tcBorders>
            <w:shd w:val="clear" w:color="000000" w:fill="DCE6F1"/>
            <w:noWrap/>
            <w:vAlign w:val="center"/>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7,800</w:t>
            </w:r>
          </w:p>
        </w:tc>
        <w:tc>
          <w:tcPr>
            <w:tcW w:w="992" w:type="dxa"/>
            <w:tcBorders>
              <w:top w:val="nil"/>
              <w:left w:val="nil"/>
              <w:bottom w:val="single" w:sz="4" w:space="0" w:color="auto"/>
              <w:right w:val="single" w:sz="4" w:space="0" w:color="auto"/>
            </w:tcBorders>
            <w:shd w:val="clear" w:color="000000" w:fill="DCE6F1"/>
            <w:noWrap/>
            <w:vAlign w:val="center"/>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9,177</w:t>
            </w:r>
          </w:p>
        </w:tc>
        <w:tc>
          <w:tcPr>
            <w:tcW w:w="992"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9,873</w:t>
            </w:r>
          </w:p>
        </w:tc>
        <w:tc>
          <w:tcPr>
            <w:tcW w:w="1559"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7.6%</w:t>
            </w:r>
          </w:p>
        </w:tc>
        <w:tc>
          <w:tcPr>
            <w:tcW w:w="1560"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26.6%</w:t>
            </w:r>
          </w:p>
        </w:tc>
      </w:tr>
      <w:tr w:rsidR="004E5AD6" w:rsidRPr="004E5AD6" w:rsidTr="004E5AD6">
        <w:trPr>
          <w:trHeight w:val="300"/>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Principal Carer</w:t>
            </w:r>
          </w:p>
        </w:tc>
        <w:tc>
          <w:tcPr>
            <w:tcW w:w="993" w:type="dxa"/>
            <w:tcBorders>
              <w:top w:val="nil"/>
              <w:left w:val="nil"/>
              <w:bottom w:val="single" w:sz="4" w:space="0" w:color="auto"/>
              <w:right w:val="single" w:sz="4" w:space="0" w:color="auto"/>
            </w:tcBorders>
            <w:shd w:val="clear" w:color="auto" w:fill="auto"/>
            <w:noWrap/>
            <w:vAlign w:val="center"/>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95</w:t>
            </w:r>
          </w:p>
        </w:tc>
        <w:tc>
          <w:tcPr>
            <w:tcW w:w="992" w:type="dxa"/>
            <w:tcBorders>
              <w:top w:val="nil"/>
              <w:left w:val="nil"/>
              <w:bottom w:val="single" w:sz="4" w:space="0" w:color="auto"/>
              <w:right w:val="single" w:sz="4" w:space="0" w:color="auto"/>
            </w:tcBorders>
            <w:shd w:val="clear" w:color="auto" w:fill="auto"/>
            <w:noWrap/>
            <w:vAlign w:val="center"/>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80</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123</w:t>
            </w:r>
          </w:p>
        </w:tc>
        <w:tc>
          <w:tcPr>
            <w:tcW w:w="1559"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53.8%</w:t>
            </w:r>
          </w:p>
        </w:tc>
        <w:tc>
          <w:tcPr>
            <w:tcW w:w="156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29.5%</w:t>
            </w:r>
          </w:p>
        </w:tc>
      </w:tr>
      <w:tr w:rsidR="004E5AD6" w:rsidRPr="004E5AD6" w:rsidTr="004E5AD6">
        <w:trPr>
          <w:trHeight w:val="300"/>
        </w:trPr>
        <w:tc>
          <w:tcPr>
            <w:tcW w:w="2283"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rsidR="004E5AD6" w:rsidRPr="004E5AD6" w:rsidRDefault="004E5AD6" w:rsidP="004E5AD6">
            <w:pPr>
              <w:spacing w:after="0" w:line="240" w:lineRule="auto"/>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Dependent</w:t>
            </w:r>
          </w:p>
        </w:tc>
        <w:tc>
          <w:tcPr>
            <w:tcW w:w="993" w:type="dxa"/>
            <w:tcBorders>
              <w:top w:val="nil"/>
              <w:left w:val="nil"/>
              <w:bottom w:val="single" w:sz="4" w:space="0" w:color="auto"/>
              <w:right w:val="single" w:sz="4" w:space="0" w:color="auto"/>
            </w:tcBorders>
            <w:shd w:val="clear" w:color="000000" w:fill="DCE6F1"/>
            <w:noWrap/>
            <w:vAlign w:val="center"/>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62,164</w:t>
            </w:r>
          </w:p>
        </w:tc>
        <w:tc>
          <w:tcPr>
            <w:tcW w:w="992"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62,129</w:t>
            </w:r>
          </w:p>
        </w:tc>
        <w:tc>
          <w:tcPr>
            <w:tcW w:w="992"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61,108</w:t>
            </w:r>
          </w:p>
        </w:tc>
        <w:tc>
          <w:tcPr>
            <w:tcW w:w="1559"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-1.6%</w:t>
            </w:r>
          </w:p>
        </w:tc>
        <w:tc>
          <w:tcPr>
            <w:tcW w:w="1560" w:type="dxa"/>
            <w:tcBorders>
              <w:top w:val="nil"/>
              <w:left w:val="nil"/>
              <w:bottom w:val="single" w:sz="4" w:space="0" w:color="auto"/>
              <w:right w:val="single" w:sz="4" w:space="0" w:color="auto"/>
            </w:tcBorders>
            <w:shd w:val="clear" w:color="000000" w:fill="DCE6F1"/>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-1.7%</w:t>
            </w:r>
          </w:p>
        </w:tc>
      </w:tr>
      <w:tr w:rsidR="004E5AD6" w:rsidRPr="004E5AD6" w:rsidTr="004E5AD6">
        <w:trPr>
          <w:trHeight w:val="300"/>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Independent</w:t>
            </w:r>
          </w:p>
        </w:tc>
        <w:tc>
          <w:tcPr>
            <w:tcW w:w="993" w:type="dxa"/>
            <w:tcBorders>
              <w:top w:val="nil"/>
              <w:left w:val="nil"/>
              <w:bottom w:val="single" w:sz="4" w:space="0" w:color="auto"/>
              <w:right w:val="single" w:sz="4" w:space="0" w:color="auto"/>
            </w:tcBorders>
            <w:shd w:val="clear" w:color="auto" w:fill="auto"/>
            <w:noWrap/>
            <w:vAlign w:val="center"/>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51,676</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51,869</w:t>
            </w:r>
          </w:p>
        </w:tc>
        <w:tc>
          <w:tcPr>
            <w:tcW w:w="992"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51,512</w:t>
            </w:r>
          </w:p>
        </w:tc>
        <w:tc>
          <w:tcPr>
            <w:tcW w:w="1559"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-0.7%</w:t>
            </w:r>
          </w:p>
        </w:tc>
        <w:tc>
          <w:tcPr>
            <w:tcW w:w="156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color w:val="000000"/>
                <w:lang w:eastAsia="en-AU"/>
              </w:rPr>
            </w:pPr>
            <w:r w:rsidRPr="004E5AD6">
              <w:rPr>
                <w:rFonts w:ascii="Calibri" w:eastAsia="Times New Roman" w:hAnsi="Calibri" w:cs="Times New Roman"/>
                <w:color w:val="000000"/>
                <w:lang w:eastAsia="en-AU"/>
              </w:rPr>
              <w:t>-0.3%</w:t>
            </w:r>
          </w:p>
        </w:tc>
      </w:tr>
    </w:tbl>
    <w:p w:rsidR="004E5AD6" w:rsidRDefault="004E5AD6" w:rsidP="00736E1E"/>
    <w:p w:rsidR="00BF0418" w:rsidRDefault="004E5AD6" w:rsidP="00BF0418">
      <w:pPr>
        <w:pStyle w:val="Heading2"/>
      </w:pPr>
      <w:bookmarkStart w:id="2" w:name="_Toc432599272"/>
      <w:r>
        <w:t>Youth</w:t>
      </w:r>
      <w:r w:rsidR="00BF0418">
        <w:t xml:space="preserve"> Allowance</w:t>
      </w:r>
      <w:r>
        <w:t xml:space="preserve"> (other)</w:t>
      </w:r>
      <w:r w:rsidR="00BF0418">
        <w:t xml:space="preserve"> Population</w:t>
      </w:r>
      <w:r w:rsidR="00736E1E">
        <w:t xml:space="preserve"> – Time Series</w:t>
      </w:r>
      <w:bookmarkEnd w:id="2"/>
    </w:p>
    <w:p w:rsidR="00BF0418" w:rsidRDefault="004E5AD6" w:rsidP="00BF0418">
      <w:r w:rsidRPr="004E5AD6">
        <w:t xml:space="preserve">The total </w:t>
      </w:r>
      <w:proofErr w:type="gramStart"/>
      <w:r w:rsidRPr="004E5AD6">
        <w:t>YA(</w:t>
      </w:r>
      <w:proofErr w:type="gramEnd"/>
      <w:r w:rsidRPr="004E5AD6">
        <w:t xml:space="preserve">o) population decreased by 1.2% compared to June 2014. On 1 July 2012 the age of eligibility for </w:t>
      </w:r>
      <w:proofErr w:type="gramStart"/>
      <w:r w:rsidRPr="004E5AD6">
        <w:t>YA(</w:t>
      </w:r>
      <w:proofErr w:type="gramEnd"/>
      <w:r w:rsidRPr="004E5AD6">
        <w:t>o) was increased to 21 years and therefore data prior to this date is not directly comparable to recent years.</w:t>
      </w:r>
    </w:p>
    <w:tbl>
      <w:tblPr>
        <w:tblW w:w="4580" w:type="dxa"/>
        <w:tblInd w:w="93" w:type="dxa"/>
        <w:tblLook w:val="04A0" w:firstRow="1" w:lastRow="0" w:firstColumn="1" w:lastColumn="0" w:noHBand="0" w:noVBand="1"/>
      </w:tblPr>
      <w:tblGrid>
        <w:gridCol w:w="3240"/>
        <w:gridCol w:w="1340"/>
      </w:tblGrid>
      <w:tr w:rsidR="004E5AD6" w:rsidRPr="004E5AD6" w:rsidTr="00E625E8">
        <w:trPr>
          <w:trHeight w:val="300"/>
        </w:trPr>
        <w:tc>
          <w:tcPr>
            <w:tcW w:w="4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E5AD6" w:rsidRPr="004E5AD6" w:rsidRDefault="004E5AD6" w:rsidP="004E5AD6">
            <w:pPr>
              <w:spacing w:after="0" w:line="240" w:lineRule="auto"/>
              <w:rPr>
                <w:rFonts w:ascii="Calibri" w:eastAsia="Times New Roman" w:hAnsi="Calibri" w:cs="Times New Roman"/>
                <w:b/>
                <w:bCs/>
                <w:lang w:eastAsia="en-AU"/>
              </w:rPr>
            </w:pPr>
            <w:r>
              <w:rPr>
                <w:rFonts w:ascii="Calibri" w:eastAsia="Times New Roman" w:hAnsi="Calibri" w:cs="Times New Roman"/>
                <w:b/>
                <w:bCs/>
                <w:color w:val="000000"/>
                <w:lang w:eastAsia="en-AU"/>
              </w:rPr>
              <w:t>Table 2: Youth Allowance (other) Time Series</w:t>
            </w:r>
          </w:p>
        </w:tc>
      </w:tr>
      <w:tr w:rsidR="004E5AD6" w:rsidRPr="004E5AD6" w:rsidTr="004E5AD6">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b/>
                <w:bCs/>
                <w:lang w:eastAsia="en-AU"/>
              </w:rPr>
            </w:pPr>
            <w:r w:rsidRPr="004E5AD6">
              <w:rPr>
                <w:rFonts w:ascii="Calibri" w:eastAsia="Times New Roman" w:hAnsi="Calibri" w:cs="Times New Roman"/>
                <w:b/>
                <w:bCs/>
                <w:lang w:eastAsia="en-AU"/>
              </w:rPr>
              <w:t>Month and Year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b/>
                <w:bCs/>
                <w:lang w:eastAsia="en-AU"/>
              </w:rPr>
            </w:pPr>
            <w:r w:rsidRPr="004E5AD6">
              <w:rPr>
                <w:rFonts w:ascii="Calibri" w:eastAsia="Times New Roman" w:hAnsi="Calibri" w:cs="Times New Roman"/>
                <w:b/>
                <w:bCs/>
                <w:lang w:eastAsia="en-AU"/>
              </w:rPr>
              <w:t>Recipients</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Jun-05</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79,950</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Jun-06</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76,276</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Jun-07</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68,698</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Jun-08</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64,907</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Jun-09</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82,907</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Jun-10</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88,459</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Jun-11</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85,972</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Jun-12</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83,802</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Jun-13</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113,840</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Jun-14</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113,998</w:t>
            </w:r>
          </w:p>
        </w:tc>
      </w:tr>
      <w:tr w:rsidR="004E5AD6" w:rsidRPr="004E5AD6" w:rsidTr="004E5AD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rPr>
                <w:rFonts w:ascii="Calibri" w:eastAsia="Times New Roman" w:hAnsi="Calibri" w:cs="Times New Roman"/>
                <w:lang w:eastAsia="en-AU"/>
              </w:rPr>
            </w:pPr>
            <w:r w:rsidRPr="004E5AD6">
              <w:rPr>
                <w:rFonts w:ascii="Calibri" w:eastAsia="Times New Roman" w:hAnsi="Calibri" w:cs="Times New Roman"/>
                <w:lang w:eastAsia="en-AU"/>
              </w:rPr>
              <w:t>Jun-15</w:t>
            </w:r>
          </w:p>
        </w:tc>
        <w:tc>
          <w:tcPr>
            <w:tcW w:w="1340" w:type="dxa"/>
            <w:tcBorders>
              <w:top w:val="nil"/>
              <w:left w:val="nil"/>
              <w:bottom w:val="single" w:sz="4" w:space="0" w:color="auto"/>
              <w:right w:val="single" w:sz="4" w:space="0" w:color="auto"/>
            </w:tcBorders>
            <w:shd w:val="clear" w:color="auto" w:fill="auto"/>
            <w:noWrap/>
            <w:vAlign w:val="bottom"/>
            <w:hideMark/>
          </w:tcPr>
          <w:p w:rsidR="004E5AD6" w:rsidRPr="004E5AD6" w:rsidRDefault="004E5AD6" w:rsidP="004E5AD6">
            <w:pPr>
              <w:spacing w:after="0" w:line="240" w:lineRule="auto"/>
              <w:jc w:val="right"/>
              <w:rPr>
                <w:rFonts w:ascii="Calibri" w:eastAsia="Times New Roman" w:hAnsi="Calibri" w:cs="Times New Roman"/>
                <w:lang w:eastAsia="en-AU"/>
              </w:rPr>
            </w:pPr>
            <w:r w:rsidRPr="004E5AD6">
              <w:rPr>
                <w:rFonts w:ascii="Calibri" w:eastAsia="Times New Roman" w:hAnsi="Calibri" w:cs="Times New Roman"/>
                <w:lang w:eastAsia="en-AU"/>
              </w:rPr>
              <w:t>112,620</w:t>
            </w:r>
          </w:p>
        </w:tc>
      </w:tr>
    </w:tbl>
    <w:p w:rsidR="004E5AD6" w:rsidRDefault="004E5AD6" w:rsidP="00BF0418"/>
    <w:p w:rsidR="00736E1E" w:rsidRDefault="00C64D16" w:rsidP="00996ABB">
      <w:pPr>
        <w:pStyle w:val="Heading2"/>
      </w:pPr>
      <w:bookmarkStart w:id="3" w:name="_Toc432599273"/>
      <w:r>
        <w:lastRenderedPageBreak/>
        <w:t xml:space="preserve">Youth Allowance (other) </w:t>
      </w:r>
      <w:r w:rsidR="00736E1E">
        <w:t>Expenditure</w:t>
      </w:r>
      <w:bookmarkEnd w:id="3"/>
    </w:p>
    <w:p w:rsidR="00736E1E" w:rsidRDefault="00C64D16" w:rsidP="00736E1E">
      <w:r>
        <w:t xml:space="preserve">Expenditure on </w:t>
      </w:r>
      <w:proofErr w:type="gramStart"/>
      <w:r>
        <w:t>YA</w:t>
      </w:r>
      <w:r w:rsidRPr="00C64D16">
        <w:t>(</w:t>
      </w:r>
      <w:proofErr w:type="gramEnd"/>
      <w:r w:rsidRPr="00C64D16">
        <w:t xml:space="preserve">o) has grown over time, particularly between 2011-12 and 2013-14. This can be largely attributed to increased payment rates due to regular indexation and higher recipient numbers as a result of changes to the program, such as increasing the age of eligibility from 20 to 21 years from 1 July 2012.  The 2014-15 expenditure on </w:t>
      </w:r>
      <w:proofErr w:type="gramStart"/>
      <w:r w:rsidRPr="00C64D16">
        <w:t>YA(</w:t>
      </w:r>
      <w:proofErr w:type="gramEnd"/>
      <w:r w:rsidRPr="00C64D16">
        <w:t xml:space="preserve">o) was $1.087 billion. Expenditure on </w:t>
      </w:r>
      <w:proofErr w:type="gramStart"/>
      <w:r w:rsidRPr="00C64D16">
        <w:t>YA(</w:t>
      </w:r>
      <w:proofErr w:type="gramEnd"/>
      <w:r w:rsidRPr="00C64D16">
        <w:t>o) makes up 0.07% of Gross Domestic Product (ABS National Accounts).</w:t>
      </w:r>
    </w:p>
    <w:tbl>
      <w:tblPr>
        <w:tblW w:w="7245" w:type="dxa"/>
        <w:tblInd w:w="93" w:type="dxa"/>
        <w:tblLook w:val="04A0" w:firstRow="1" w:lastRow="0" w:firstColumn="1" w:lastColumn="0" w:noHBand="0" w:noVBand="1"/>
      </w:tblPr>
      <w:tblGrid>
        <w:gridCol w:w="2000"/>
        <w:gridCol w:w="2126"/>
        <w:gridCol w:w="3119"/>
      </w:tblGrid>
      <w:tr w:rsidR="00C64D16" w:rsidRPr="00C64D16" w:rsidTr="00E625E8">
        <w:trPr>
          <w:trHeight w:val="315"/>
        </w:trPr>
        <w:tc>
          <w:tcPr>
            <w:tcW w:w="724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64D16" w:rsidRPr="00C64D16" w:rsidRDefault="00C64D16" w:rsidP="00C64D16">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3: Youth Allowance (other) Expenditure</w:t>
            </w:r>
          </w:p>
        </w:tc>
      </w:tr>
      <w:tr w:rsidR="00C64D16" w:rsidRPr="00C64D16" w:rsidTr="00C64D16">
        <w:trPr>
          <w:trHeight w:val="315"/>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4D16" w:rsidRPr="00C64D16" w:rsidRDefault="00C64D16" w:rsidP="00C64D16">
            <w:pPr>
              <w:spacing w:after="0" w:line="240" w:lineRule="auto"/>
              <w:rPr>
                <w:rFonts w:ascii="Calibri" w:eastAsia="Times New Roman" w:hAnsi="Calibri" w:cs="Times New Roman"/>
                <w:b/>
                <w:bCs/>
                <w:color w:val="000000"/>
                <w:lang w:eastAsia="en-AU"/>
              </w:rPr>
            </w:pPr>
            <w:r w:rsidRPr="00C64D16">
              <w:rPr>
                <w:rFonts w:ascii="Calibri" w:eastAsia="Times New Roman" w:hAnsi="Calibri" w:cs="Times New Roman"/>
                <w:b/>
                <w:bCs/>
                <w:color w:val="000000"/>
                <w:lang w:eastAsia="en-AU"/>
              </w:rPr>
              <w:t>Financial Year</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C64D16" w:rsidRPr="00C64D16" w:rsidRDefault="00C64D16" w:rsidP="00C64D16">
            <w:pPr>
              <w:spacing w:after="0" w:line="240" w:lineRule="auto"/>
              <w:jc w:val="right"/>
              <w:rPr>
                <w:rFonts w:ascii="Calibri" w:eastAsia="Times New Roman" w:hAnsi="Calibri" w:cs="Times New Roman"/>
                <w:b/>
                <w:bCs/>
                <w:color w:val="000000"/>
                <w:lang w:eastAsia="en-AU"/>
              </w:rPr>
            </w:pPr>
            <w:r w:rsidRPr="00C64D16">
              <w:rPr>
                <w:rFonts w:ascii="Calibri" w:eastAsia="Times New Roman" w:hAnsi="Calibri" w:cs="Times New Roman"/>
                <w:b/>
                <w:bCs/>
                <w:color w:val="000000"/>
                <w:lang w:eastAsia="en-AU"/>
              </w:rPr>
              <w:t>Expenditure ($’000)</w:t>
            </w:r>
          </w:p>
        </w:tc>
        <w:tc>
          <w:tcPr>
            <w:tcW w:w="3119" w:type="dxa"/>
            <w:tcBorders>
              <w:top w:val="single" w:sz="8" w:space="0" w:color="auto"/>
              <w:left w:val="nil"/>
              <w:bottom w:val="single" w:sz="8" w:space="0" w:color="auto"/>
              <w:right w:val="single" w:sz="8" w:space="0" w:color="auto"/>
            </w:tcBorders>
            <w:shd w:val="clear" w:color="auto" w:fill="auto"/>
            <w:noWrap/>
            <w:vAlign w:val="center"/>
            <w:hideMark/>
          </w:tcPr>
          <w:p w:rsidR="00C64D16" w:rsidRPr="00C64D16" w:rsidRDefault="00C64D16" w:rsidP="00C64D16">
            <w:pPr>
              <w:spacing w:after="0" w:line="240" w:lineRule="auto"/>
              <w:jc w:val="right"/>
              <w:rPr>
                <w:rFonts w:ascii="Calibri" w:eastAsia="Times New Roman" w:hAnsi="Calibri" w:cs="Times New Roman"/>
                <w:b/>
                <w:bCs/>
                <w:color w:val="000000"/>
                <w:lang w:eastAsia="en-AU"/>
              </w:rPr>
            </w:pPr>
            <w:r w:rsidRPr="00C64D16">
              <w:rPr>
                <w:rFonts w:ascii="Calibri" w:eastAsia="Times New Roman" w:hAnsi="Calibri" w:cs="Times New Roman"/>
                <w:b/>
                <w:bCs/>
                <w:color w:val="000000"/>
                <w:lang w:eastAsia="en-AU"/>
              </w:rPr>
              <w:t>% of Gross Domestic Product</w:t>
            </w:r>
          </w:p>
        </w:tc>
      </w:tr>
      <w:tr w:rsidR="00C64D16" w:rsidRPr="00C64D16" w:rsidTr="00C64D16">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rPr>
                <w:rFonts w:ascii="Calibri" w:eastAsia="Times New Roman" w:hAnsi="Calibri" w:cs="Times New Roman"/>
                <w:color w:val="000000"/>
                <w:sz w:val="20"/>
                <w:szCs w:val="20"/>
                <w:lang w:eastAsia="en-AU"/>
              </w:rPr>
            </w:pPr>
            <w:r w:rsidRPr="00C64D16">
              <w:rPr>
                <w:rFonts w:ascii="Calibri" w:eastAsia="Times New Roman" w:hAnsi="Calibri" w:cs="Times New Roman"/>
                <w:color w:val="000000"/>
                <w:sz w:val="20"/>
                <w:szCs w:val="20"/>
                <w:lang w:eastAsia="en-AU"/>
              </w:rPr>
              <w:t xml:space="preserve"> 2010-11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64D16" w:rsidRPr="00C64D16" w:rsidRDefault="00C64D16" w:rsidP="00C64D16">
            <w:pPr>
              <w:spacing w:after="0" w:line="240" w:lineRule="auto"/>
              <w:jc w:val="right"/>
              <w:rPr>
                <w:rFonts w:ascii="Calibri" w:eastAsia="Times New Roman" w:hAnsi="Calibri" w:cs="Times New Roman"/>
                <w:lang w:eastAsia="en-AU"/>
              </w:rPr>
            </w:pPr>
            <w:r w:rsidRPr="00C64D16">
              <w:rPr>
                <w:rFonts w:ascii="Calibri" w:eastAsia="Times New Roman" w:hAnsi="Calibri" w:cs="Times New Roman"/>
                <w:lang w:eastAsia="en-AU"/>
              </w:rPr>
              <w:t>707,547</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jc w:val="right"/>
              <w:rPr>
                <w:rFonts w:ascii="Calibri" w:eastAsia="Times New Roman" w:hAnsi="Calibri" w:cs="Times New Roman"/>
                <w:color w:val="000000"/>
                <w:lang w:eastAsia="en-AU"/>
              </w:rPr>
            </w:pPr>
            <w:r w:rsidRPr="00C64D16">
              <w:rPr>
                <w:rFonts w:ascii="Calibri" w:eastAsia="Times New Roman" w:hAnsi="Calibri" w:cs="Times New Roman"/>
                <w:color w:val="000000"/>
                <w:lang w:eastAsia="en-AU"/>
              </w:rPr>
              <w:t>0.05%</w:t>
            </w:r>
          </w:p>
        </w:tc>
      </w:tr>
      <w:tr w:rsidR="00C64D16" w:rsidRPr="00C64D16" w:rsidTr="00C64D16">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rPr>
                <w:rFonts w:ascii="Calibri" w:eastAsia="Times New Roman" w:hAnsi="Calibri" w:cs="Times New Roman"/>
                <w:color w:val="000000"/>
                <w:sz w:val="20"/>
                <w:szCs w:val="20"/>
                <w:lang w:eastAsia="en-AU"/>
              </w:rPr>
            </w:pPr>
            <w:r w:rsidRPr="00C64D16">
              <w:rPr>
                <w:rFonts w:ascii="Calibri" w:eastAsia="Times New Roman" w:hAnsi="Calibri" w:cs="Times New Roman"/>
                <w:color w:val="000000"/>
                <w:sz w:val="20"/>
                <w:szCs w:val="20"/>
                <w:lang w:eastAsia="en-AU"/>
              </w:rPr>
              <w:t xml:space="preserve"> 2011-12 </w:t>
            </w:r>
          </w:p>
        </w:tc>
        <w:tc>
          <w:tcPr>
            <w:tcW w:w="2126" w:type="dxa"/>
            <w:tcBorders>
              <w:top w:val="nil"/>
              <w:left w:val="nil"/>
              <w:bottom w:val="single" w:sz="4" w:space="0" w:color="auto"/>
              <w:right w:val="single" w:sz="4" w:space="0" w:color="auto"/>
            </w:tcBorders>
            <w:shd w:val="clear" w:color="auto" w:fill="auto"/>
            <w:noWrap/>
            <w:vAlign w:val="center"/>
            <w:hideMark/>
          </w:tcPr>
          <w:p w:rsidR="00C64D16" w:rsidRPr="00C64D16" w:rsidRDefault="00C64D16" w:rsidP="00C64D16">
            <w:pPr>
              <w:spacing w:after="0" w:line="240" w:lineRule="auto"/>
              <w:jc w:val="right"/>
              <w:rPr>
                <w:rFonts w:ascii="Calibri" w:eastAsia="Times New Roman" w:hAnsi="Calibri" w:cs="Times New Roman"/>
                <w:lang w:eastAsia="en-AU"/>
              </w:rPr>
            </w:pPr>
            <w:r w:rsidRPr="00C64D16">
              <w:rPr>
                <w:rFonts w:ascii="Calibri" w:eastAsia="Times New Roman" w:hAnsi="Calibri" w:cs="Times New Roman"/>
                <w:lang w:eastAsia="en-AU"/>
              </w:rPr>
              <w:t>743,638</w:t>
            </w:r>
          </w:p>
        </w:tc>
        <w:tc>
          <w:tcPr>
            <w:tcW w:w="3119" w:type="dxa"/>
            <w:tcBorders>
              <w:top w:val="nil"/>
              <w:left w:val="nil"/>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jc w:val="right"/>
              <w:rPr>
                <w:rFonts w:ascii="Calibri" w:eastAsia="Times New Roman" w:hAnsi="Calibri" w:cs="Times New Roman"/>
                <w:color w:val="000000"/>
                <w:lang w:eastAsia="en-AU"/>
              </w:rPr>
            </w:pPr>
            <w:r w:rsidRPr="00C64D16">
              <w:rPr>
                <w:rFonts w:ascii="Calibri" w:eastAsia="Times New Roman" w:hAnsi="Calibri" w:cs="Times New Roman"/>
                <w:color w:val="000000"/>
                <w:lang w:eastAsia="en-AU"/>
              </w:rPr>
              <w:t>0.05%</w:t>
            </w:r>
          </w:p>
        </w:tc>
      </w:tr>
      <w:tr w:rsidR="00C64D16" w:rsidRPr="00C64D16" w:rsidTr="00C64D16">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rPr>
                <w:rFonts w:ascii="Calibri" w:eastAsia="Times New Roman" w:hAnsi="Calibri" w:cs="Times New Roman"/>
                <w:color w:val="000000"/>
                <w:sz w:val="20"/>
                <w:szCs w:val="20"/>
                <w:lang w:eastAsia="en-AU"/>
              </w:rPr>
            </w:pPr>
            <w:r w:rsidRPr="00C64D16">
              <w:rPr>
                <w:rFonts w:ascii="Calibri" w:eastAsia="Times New Roman" w:hAnsi="Calibri" w:cs="Times New Roman"/>
                <w:color w:val="000000"/>
                <w:sz w:val="20"/>
                <w:szCs w:val="20"/>
                <w:lang w:eastAsia="en-AU"/>
              </w:rPr>
              <w:t xml:space="preserve"> 2012-13 </w:t>
            </w:r>
          </w:p>
        </w:tc>
        <w:tc>
          <w:tcPr>
            <w:tcW w:w="2126" w:type="dxa"/>
            <w:tcBorders>
              <w:top w:val="nil"/>
              <w:left w:val="nil"/>
              <w:bottom w:val="single" w:sz="4" w:space="0" w:color="auto"/>
              <w:right w:val="single" w:sz="4" w:space="0" w:color="auto"/>
            </w:tcBorders>
            <w:shd w:val="clear" w:color="auto" w:fill="auto"/>
            <w:noWrap/>
            <w:vAlign w:val="center"/>
            <w:hideMark/>
          </w:tcPr>
          <w:p w:rsidR="00C64D16" w:rsidRPr="00C64D16" w:rsidRDefault="00C64D16" w:rsidP="00C64D16">
            <w:pPr>
              <w:spacing w:after="0" w:line="240" w:lineRule="auto"/>
              <w:jc w:val="right"/>
              <w:rPr>
                <w:rFonts w:ascii="Calibri" w:eastAsia="Times New Roman" w:hAnsi="Calibri" w:cs="Times New Roman"/>
                <w:lang w:eastAsia="en-AU"/>
              </w:rPr>
            </w:pPr>
            <w:r w:rsidRPr="00C64D16">
              <w:rPr>
                <w:rFonts w:ascii="Calibri" w:eastAsia="Times New Roman" w:hAnsi="Calibri" w:cs="Times New Roman"/>
                <w:lang w:eastAsia="en-AU"/>
              </w:rPr>
              <w:t>914,590</w:t>
            </w:r>
          </w:p>
        </w:tc>
        <w:tc>
          <w:tcPr>
            <w:tcW w:w="3119" w:type="dxa"/>
            <w:tcBorders>
              <w:top w:val="nil"/>
              <w:left w:val="nil"/>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jc w:val="right"/>
              <w:rPr>
                <w:rFonts w:ascii="Calibri" w:eastAsia="Times New Roman" w:hAnsi="Calibri" w:cs="Times New Roman"/>
                <w:color w:val="000000"/>
                <w:lang w:eastAsia="en-AU"/>
              </w:rPr>
            </w:pPr>
            <w:r w:rsidRPr="00C64D16">
              <w:rPr>
                <w:rFonts w:ascii="Calibri" w:eastAsia="Times New Roman" w:hAnsi="Calibri" w:cs="Times New Roman"/>
                <w:color w:val="000000"/>
                <w:lang w:eastAsia="en-AU"/>
              </w:rPr>
              <w:t>0.06%</w:t>
            </w:r>
          </w:p>
        </w:tc>
      </w:tr>
      <w:tr w:rsidR="00C64D16" w:rsidRPr="00C64D16" w:rsidTr="00C64D16">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rPr>
                <w:rFonts w:ascii="Calibri" w:eastAsia="Times New Roman" w:hAnsi="Calibri" w:cs="Times New Roman"/>
                <w:color w:val="000000"/>
                <w:sz w:val="20"/>
                <w:szCs w:val="20"/>
                <w:lang w:eastAsia="en-AU"/>
              </w:rPr>
            </w:pPr>
            <w:r w:rsidRPr="00C64D16">
              <w:rPr>
                <w:rFonts w:ascii="Calibri" w:eastAsia="Times New Roman" w:hAnsi="Calibri" w:cs="Times New Roman"/>
                <w:color w:val="000000"/>
                <w:sz w:val="20"/>
                <w:szCs w:val="20"/>
                <w:lang w:eastAsia="en-AU"/>
              </w:rPr>
              <w:t xml:space="preserve"> 2013-14 </w:t>
            </w:r>
          </w:p>
        </w:tc>
        <w:tc>
          <w:tcPr>
            <w:tcW w:w="2126" w:type="dxa"/>
            <w:tcBorders>
              <w:top w:val="nil"/>
              <w:left w:val="nil"/>
              <w:bottom w:val="single" w:sz="4" w:space="0" w:color="auto"/>
              <w:right w:val="single" w:sz="4" w:space="0" w:color="auto"/>
            </w:tcBorders>
            <w:shd w:val="clear" w:color="auto" w:fill="auto"/>
            <w:noWrap/>
            <w:vAlign w:val="center"/>
            <w:hideMark/>
          </w:tcPr>
          <w:p w:rsidR="00C64D16" w:rsidRPr="00C64D16" w:rsidRDefault="00C64D16" w:rsidP="00C64D16">
            <w:pPr>
              <w:spacing w:after="0" w:line="240" w:lineRule="auto"/>
              <w:jc w:val="right"/>
              <w:rPr>
                <w:rFonts w:ascii="Calibri" w:eastAsia="Times New Roman" w:hAnsi="Calibri" w:cs="Times New Roman"/>
                <w:lang w:eastAsia="en-AU"/>
              </w:rPr>
            </w:pPr>
            <w:r w:rsidRPr="00C64D16">
              <w:rPr>
                <w:rFonts w:ascii="Calibri" w:eastAsia="Times New Roman" w:hAnsi="Calibri" w:cs="Times New Roman"/>
                <w:lang w:eastAsia="en-AU"/>
              </w:rPr>
              <w:t>1,092,532</w:t>
            </w:r>
          </w:p>
        </w:tc>
        <w:tc>
          <w:tcPr>
            <w:tcW w:w="3119" w:type="dxa"/>
            <w:tcBorders>
              <w:top w:val="nil"/>
              <w:left w:val="nil"/>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jc w:val="right"/>
              <w:rPr>
                <w:rFonts w:ascii="Calibri" w:eastAsia="Times New Roman" w:hAnsi="Calibri" w:cs="Times New Roman"/>
                <w:color w:val="000000"/>
                <w:lang w:eastAsia="en-AU"/>
              </w:rPr>
            </w:pPr>
            <w:r w:rsidRPr="00C64D16">
              <w:rPr>
                <w:rFonts w:ascii="Calibri" w:eastAsia="Times New Roman" w:hAnsi="Calibri" w:cs="Times New Roman"/>
                <w:color w:val="000000"/>
                <w:lang w:eastAsia="en-AU"/>
              </w:rPr>
              <w:t>0.07%</w:t>
            </w:r>
          </w:p>
        </w:tc>
      </w:tr>
      <w:tr w:rsidR="00C64D16" w:rsidRPr="00C64D16" w:rsidTr="00C64D16">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rPr>
                <w:rFonts w:ascii="Calibri" w:eastAsia="Times New Roman" w:hAnsi="Calibri" w:cs="Times New Roman"/>
                <w:color w:val="000000"/>
                <w:sz w:val="20"/>
                <w:szCs w:val="20"/>
                <w:lang w:eastAsia="en-AU"/>
              </w:rPr>
            </w:pPr>
            <w:r w:rsidRPr="00C64D16">
              <w:rPr>
                <w:rFonts w:ascii="Calibri" w:eastAsia="Times New Roman" w:hAnsi="Calibri" w:cs="Times New Roman"/>
                <w:color w:val="000000"/>
                <w:sz w:val="20"/>
                <w:szCs w:val="20"/>
                <w:lang w:eastAsia="en-AU"/>
              </w:rPr>
              <w:t xml:space="preserve"> 2014-15 </w:t>
            </w:r>
          </w:p>
        </w:tc>
        <w:tc>
          <w:tcPr>
            <w:tcW w:w="2126" w:type="dxa"/>
            <w:tcBorders>
              <w:top w:val="nil"/>
              <w:left w:val="nil"/>
              <w:bottom w:val="single" w:sz="4" w:space="0" w:color="auto"/>
              <w:right w:val="single" w:sz="4" w:space="0" w:color="auto"/>
            </w:tcBorders>
            <w:shd w:val="clear" w:color="auto" w:fill="auto"/>
            <w:noWrap/>
            <w:vAlign w:val="center"/>
            <w:hideMark/>
          </w:tcPr>
          <w:p w:rsidR="00C64D16" w:rsidRPr="00C64D16" w:rsidRDefault="00C64D16" w:rsidP="00C64D16">
            <w:pPr>
              <w:spacing w:after="0" w:line="240" w:lineRule="auto"/>
              <w:jc w:val="right"/>
              <w:rPr>
                <w:rFonts w:ascii="Calibri" w:eastAsia="Times New Roman" w:hAnsi="Calibri" w:cs="Times New Roman"/>
                <w:lang w:eastAsia="en-AU"/>
              </w:rPr>
            </w:pPr>
            <w:r w:rsidRPr="00C64D16">
              <w:rPr>
                <w:rFonts w:ascii="Calibri" w:eastAsia="Times New Roman" w:hAnsi="Calibri" w:cs="Times New Roman"/>
                <w:lang w:eastAsia="en-AU"/>
              </w:rPr>
              <w:t>1,087,963</w:t>
            </w:r>
          </w:p>
        </w:tc>
        <w:tc>
          <w:tcPr>
            <w:tcW w:w="3119" w:type="dxa"/>
            <w:tcBorders>
              <w:top w:val="nil"/>
              <w:left w:val="nil"/>
              <w:bottom w:val="single" w:sz="4" w:space="0" w:color="auto"/>
              <w:right w:val="single" w:sz="4" w:space="0" w:color="auto"/>
            </w:tcBorders>
            <w:shd w:val="clear" w:color="auto" w:fill="auto"/>
            <w:noWrap/>
            <w:vAlign w:val="bottom"/>
            <w:hideMark/>
          </w:tcPr>
          <w:p w:rsidR="00C64D16" w:rsidRPr="00C64D16" w:rsidRDefault="00C64D16" w:rsidP="00C64D16">
            <w:pPr>
              <w:spacing w:after="0" w:line="240" w:lineRule="auto"/>
              <w:jc w:val="right"/>
              <w:rPr>
                <w:rFonts w:ascii="Calibri" w:eastAsia="Times New Roman" w:hAnsi="Calibri" w:cs="Times New Roman"/>
                <w:color w:val="000000"/>
                <w:lang w:eastAsia="en-AU"/>
              </w:rPr>
            </w:pPr>
            <w:r w:rsidRPr="00C64D16">
              <w:rPr>
                <w:rFonts w:ascii="Calibri" w:eastAsia="Times New Roman" w:hAnsi="Calibri" w:cs="Times New Roman"/>
                <w:color w:val="000000"/>
                <w:lang w:eastAsia="en-AU"/>
              </w:rPr>
              <w:t>0.07%</w:t>
            </w:r>
          </w:p>
        </w:tc>
      </w:tr>
    </w:tbl>
    <w:p w:rsidR="00C64D16" w:rsidRDefault="00C64D16" w:rsidP="00736E1E"/>
    <w:p w:rsidR="00996ABB" w:rsidRPr="00996ABB" w:rsidRDefault="0053465C" w:rsidP="00996ABB">
      <w:pPr>
        <w:pStyle w:val="Heading2"/>
      </w:pPr>
      <w:bookmarkStart w:id="4" w:name="_Toc432599274"/>
      <w:r>
        <w:t xml:space="preserve">Youth Allowance (other) </w:t>
      </w:r>
      <w:r w:rsidR="00736E1E">
        <w:t>by Age Group</w:t>
      </w:r>
      <w:bookmarkEnd w:id="4"/>
    </w:p>
    <w:p w:rsidR="00736E1E" w:rsidRDefault="0053465C" w:rsidP="00736E1E">
      <w:r w:rsidRPr="0053465C">
        <w:t xml:space="preserve">46% of </w:t>
      </w:r>
      <w:proofErr w:type="gramStart"/>
      <w:r w:rsidRPr="0053465C">
        <w:t>YA(</w:t>
      </w:r>
      <w:proofErr w:type="gramEnd"/>
      <w:r w:rsidRPr="0053465C">
        <w:t>o) recipients were aged 18-19 years, while 45% were aged 20-21 years. The majority of recipients were aged 18 years and over (91.1%).</w:t>
      </w:r>
    </w:p>
    <w:tbl>
      <w:tblPr>
        <w:tblW w:w="9087" w:type="dxa"/>
        <w:tblInd w:w="93" w:type="dxa"/>
        <w:tblLook w:val="04A0" w:firstRow="1" w:lastRow="0" w:firstColumn="1" w:lastColumn="0" w:noHBand="0" w:noVBand="1"/>
      </w:tblPr>
      <w:tblGrid>
        <w:gridCol w:w="2992"/>
        <w:gridCol w:w="1418"/>
        <w:gridCol w:w="1134"/>
        <w:gridCol w:w="1275"/>
        <w:gridCol w:w="1134"/>
        <w:gridCol w:w="1134"/>
      </w:tblGrid>
      <w:tr w:rsidR="0053465C" w:rsidRPr="0053465C" w:rsidTr="00E625E8">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53465C" w:rsidRPr="0053465C" w:rsidRDefault="0053465C" w:rsidP="0053465C">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4: Youth Allowance (other) by Age Group</w:t>
            </w:r>
          </w:p>
        </w:tc>
      </w:tr>
      <w:tr w:rsidR="0053465C" w:rsidRPr="0053465C" w:rsidTr="0053465C">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rPr>
                <w:rFonts w:ascii="Calibri" w:eastAsia="Times New Roman" w:hAnsi="Calibri" w:cs="Times New Roman"/>
                <w:b/>
                <w:bCs/>
                <w:color w:val="000000"/>
                <w:lang w:eastAsia="en-AU"/>
              </w:rPr>
            </w:pPr>
            <w:r w:rsidRPr="00736E1E">
              <w:rPr>
                <w:rFonts w:ascii="Calibri" w:eastAsia="Times New Roman" w:hAnsi="Calibri" w:cs="Times New Roman"/>
                <w:b/>
                <w:bCs/>
                <w:color w:val="000000"/>
                <w:lang w:eastAsia="en-AU"/>
              </w:rPr>
              <w:t>Age</w:t>
            </w:r>
            <w:r>
              <w:rPr>
                <w:rFonts w:ascii="Calibri" w:eastAsia="Times New Roman" w:hAnsi="Calibri" w:cs="Times New Roman"/>
                <w:b/>
                <w:bCs/>
                <w:color w:val="000000"/>
                <w:lang w:eastAsia="en-AU"/>
              </w:rPr>
              <w:t xml:space="preserve"> Group</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Jun-11</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Jun-15</w:t>
            </w:r>
          </w:p>
        </w:tc>
      </w:tr>
      <w:tr w:rsidR="0053465C" w:rsidRPr="0053465C" w:rsidTr="0053465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rPr>
                <w:rFonts w:ascii="Calibri" w:eastAsia="Times New Roman" w:hAnsi="Calibri" w:cs="Times New Roman"/>
                <w:lang w:eastAsia="en-AU"/>
              </w:rPr>
            </w:pPr>
            <w:r w:rsidRPr="0053465C">
              <w:rPr>
                <w:rFonts w:ascii="Calibri" w:eastAsia="Times New Roman" w:hAnsi="Calibri" w:cs="Times New Roman"/>
                <w:lang w:eastAsia="en-AU"/>
              </w:rPr>
              <w:t>15-19</w:t>
            </w:r>
          </w:p>
        </w:tc>
        <w:tc>
          <w:tcPr>
            <w:tcW w:w="1418" w:type="dxa"/>
            <w:tcBorders>
              <w:top w:val="nil"/>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lang w:eastAsia="en-AU"/>
              </w:rPr>
            </w:pPr>
            <w:r w:rsidRPr="0053465C">
              <w:rPr>
                <w:rFonts w:ascii="Calibri" w:eastAsia="Times New Roman" w:hAnsi="Calibri" w:cs="Times New Roman"/>
                <w:lang w:eastAsia="en-AU"/>
              </w:rPr>
              <w:t>64</w:t>
            </w:r>
            <w:r w:rsidR="00977331">
              <w:rPr>
                <w:rFonts w:ascii="Calibri" w:eastAsia="Times New Roman" w:hAnsi="Calibri" w:cs="Times New Roman"/>
                <w:lang w:eastAsia="en-AU"/>
              </w:rPr>
              <w:t>,</w:t>
            </w:r>
            <w:r w:rsidRPr="0053465C">
              <w:rPr>
                <w:rFonts w:ascii="Calibri" w:eastAsia="Times New Roman" w:hAnsi="Calibri" w:cs="Times New Roman"/>
                <w:lang w:eastAsia="en-AU"/>
              </w:rPr>
              <w:t>948</w:t>
            </w:r>
          </w:p>
        </w:tc>
        <w:tc>
          <w:tcPr>
            <w:tcW w:w="1134" w:type="dxa"/>
            <w:tcBorders>
              <w:top w:val="nil"/>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lang w:eastAsia="en-AU"/>
              </w:rPr>
            </w:pPr>
            <w:r w:rsidRPr="0053465C">
              <w:rPr>
                <w:rFonts w:ascii="Calibri" w:eastAsia="Times New Roman" w:hAnsi="Calibri" w:cs="Times New Roman"/>
                <w:lang w:eastAsia="en-AU"/>
              </w:rPr>
              <w:t>62</w:t>
            </w:r>
            <w:r w:rsidR="00977331">
              <w:rPr>
                <w:rFonts w:ascii="Calibri" w:eastAsia="Times New Roman" w:hAnsi="Calibri" w:cs="Times New Roman"/>
                <w:lang w:eastAsia="en-AU"/>
              </w:rPr>
              <w:t>,</w:t>
            </w:r>
            <w:r w:rsidRPr="0053465C">
              <w:rPr>
                <w:rFonts w:ascii="Calibri" w:eastAsia="Times New Roman" w:hAnsi="Calibri" w:cs="Times New Roman"/>
                <w:lang w:eastAsia="en-AU"/>
              </w:rPr>
              <w:t>344</w:t>
            </w:r>
          </w:p>
        </w:tc>
        <w:tc>
          <w:tcPr>
            <w:tcW w:w="1275"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67</w:t>
            </w:r>
            <w:r w:rsidR="00977331">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099</w:t>
            </w:r>
          </w:p>
        </w:tc>
        <w:tc>
          <w:tcPr>
            <w:tcW w:w="1134"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64</w:t>
            </w:r>
            <w:r w:rsidR="00977331">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775</w:t>
            </w:r>
          </w:p>
        </w:tc>
        <w:tc>
          <w:tcPr>
            <w:tcW w:w="1134"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61</w:t>
            </w:r>
            <w:r w:rsidR="00977331">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470</w:t>
            </w:r>
          </w:p>
        </w:tc>
      </w:tr>
      <w:tr w:rsidR="0053465C" w:rsidRPr="0053465C" w:rsidTr="0053465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rPr>
                <w:rFonts w:ascii="Calibri" w:eastAsia="Times New Roman" w:hAnsi="Calibri" w:cs="Times New Roman"/>
                <w:lang w:eastAsia="en-AU"/>
              </w:rPr>
            </w:pPr>
            <w:r w:rsidRPr="0053465C">
              <w:rPr>
                <w:rFonts w:ascii="Calibri" w:eastAsia="Times New Roman" w:hAnsi="Calibri" w:cs="Times New Roman"/>
                <w:lang w:eastAsia="en-AU"/>
              </w:rPr>
              <w:t>20-21</w:t>
            </w:r>
          </w:p>
        </w:tc>
        <w:tc>
          <w:tcPr>
            <w:tcW w:w="1418"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21</w:t>
            </w:r>
            <w:r w:rsidR="00977331">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024</w:t>
            </w:r>
          </w:p>
        </w:tc>
        <w:tc>
          <w:tcPr>
            <w:tcW w:w="1134"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lang w:eastAsia="en-AU"/>
              </w:rPr>
            </w:pPr>
            <w:r w:rsidRPr="0053465C">
              <w:rPr>
                <w:rFonts w:ascii="Calibri" w:eastAsia="Times New Roman" w:hAnsi="Calibri" w:cs="Times New Roman"/>
                <w:lang w:eastAsia="en-AU"/>
              </w:rPr>
              <w:t>21</w:t>
            </w:r>
            <w:r w:rsidR="00977331">
              <w:rPr>
                <w:rFonts w:ascii="Calibri" w:eastAsia="Times New Roman" w:hAnsi="Calibri" w:cs="Times New Roman"/>
                <w:lang w:eastAsia="en-AU"/>
              </w:rPr>
              <w:t>,</w:t>
            </w:r>
            <w:r w:rsidRPr="0053465C">
              <w:rPr>
                <w:rFonts w:ascii="Calibri" w:eastAsia="Times New Roman" w:hAnsi="Calibri" w:cs="Times New Roman"/>
                <w:lang w:eastAsia="en-AU"/>
              </w:rPr>
              <w:t>458</w:t>
            </w:r>
          </w:p>
        </w:tc>
        <w:tc>
          <w:tcPr>
            <w:tcW w:w="1275"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46</w:t>
            </w:r>
            <w:r w:rsidR="00977331">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741</w:t>
            </w:r>
          </w:p>
        </w:tc>
        <w:tc>
          <w:tcPr>
            <w:tcW w:w="1134"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49</w:t>
            </w:r>
            <w:r w:rsidR="00977331">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223</w:t>
            </w:r>
          </w:p>
        </w:tc>
        <w:tc>
          <w:tcPr>
            <w:tcW w:w="1134"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51</w:t>
            </w:r>
            <w:r w:rsidR="00977331">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150</w:t>
            </w:r>
          </w:p>
        </w:tc>
      </w:tr>
    </w:tbl>
    <w:p w:rsidR="0053465C" w:rsidRDefault="0053465C" w:rsidP="00736E1E"/>
    <w:p w:rsidR="00736E1E" w:rsidRDefault="0053465C" w:rsidP="00736E1E">
      <w:pPr>
        <w:pStyle w:val="Heading2"/>
      </w:pPr>
      <w:bookmarkStart w:id="5" w:name="_Toc432599275"/>
      <w:r>
        <w:t xml:space="preserve">Youth Allowance (other) </w:t>
      </w:r>
      <w:r w:rsidR="00736E1E">
        <w:t>by Gender</w:t>
      </w:r>
      <w:bookmarkEnd w:id="5"/>
    </w:p>
    <w:p w:rsidR="00736E1E" w:rsidRDefault="0053465C" w:rsidP="00736E1E">
      <w:r w:rsidRPr="0053465C">
        <w:t>There are slightl</w:t>
      </w:r>
      <w:r>
        <w:t xml:space="preserve">y more males than females on </w:t>
      </w:r>
      <w:proofErr w:type="gramStart"/>
      <w:r>
        <w:t>YA</w:t>
      </w:r>
      <w:r w:rsidRPr="0053465C">
        <w:t>(</w:t>
      </w:r>
      <w:proofErr w:type="gramEnd"/>
      <w:r w:rsidRPr="0053465C">
        <w:t>o), with 53.9% male and 46.1% female.</w:t>
      </w:r>
    </w:p>
    <w:tbl>
      <w:tblPr>
        <w:tblW w:w="9087" w:type="dxa"/>
        <w:tblInd w:w="93" w:type="dxa"/>
        <w:tblLook w:val="04A0" w:firstRow="1" w:lastRow="0" w:firstColumn="1" w:lastColumn="0" w:noHBand="0" w:noVBand="1"/>
      </w:tblPr>
      <w:tblGrid>
        <w:gridCol w:w="2992"/>
        <w:gridCol w:w="1418"/>
        <w:gridCol w:w="1134"/>
        <w:gridCol w:w="1275"/>
        <w:gridCol w:w="1134"/>
        <w:gridCol w:w="1134"/>
      </w:tblGrid>
      <w:tr w:rsidR="0053465C" w:rsidRPr="0053465C" w:rsidTr="00E625E8">
        <w:trPr>
          <w:trHeight w:val="414"/>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53465C" w:rsidRPr="0053465C" w:rsidRDefault="0053465C" w:rsidP="0053465C">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5: Youth Allowance (other) by Gender</w:t>
            </w:r>
          </w:p>
        </w:tc>
      </w:tr>
      <w:tr w:rsidR="0053465C" w:rsidRPr="0053465C" w:rsidTr="0053465C">
        <w:trPr>
          <w:trHeight w:val="414"/>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rPr>
                <w:rFonts w:ascii="Calibri" w:eastAsia="Times New Roman" w:hAnsi="Calibri" w:cs="Times New Roman"/>
                <w:b/>
                <w:bCs/>
                <w:lang w:eastAsia="en-AU"/>
              </w:rPr>
            </w:pPr>
            <w:r w:rsidRPr="00736E1E">
              <w:rPr>
                <w:rFonts w:ascii="Calibri" w:eastAsia="Times New Roman" w:hAnsi="Calibri" w:cs="Times New Roman"/>
                <w:b/>
                <w:bCs/>
                <w:lang w:eastAsia="en-AU"/>
              </w:rPr>
              <w:t>Gender</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Jun-14</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Jun-15</w:t>
            </w:r>
          </w:p>
        </w:tc>
      </w:tr>
      <w:tr w:rsidR="0053465C" w:rsidRPr="0053465C" w:rsidTr="0053465C">
        <w:trPr>
          <w:trHeight w:val="300"/>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Male</w:t>
            </w:r>
          </w:p>
        </w:tc>
        <w:tc>
          <w:tcPr>
            <w:tcW w:w="1418"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45</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014</w:t>
            </w:r>
          </w:p>
        </w:tc>
        <w:tc>
          <w:tcPr>
            <w:tcW w:w="1134"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43</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835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61</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131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61</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244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60</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705</w:t>
            </w:r>
          </w:p>
        </w:tc>
      </w:tr>
      <w:tr w:rsidR="0053465C" w:rsidRPr="0053465C" w:rsidTr="0053465C">
        <w:trPr>
          <w:trHeight w:val="315"/>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Female</w:t>
            </w:r>
          </w:p>
        </w:tc>
        <w:tc>
          <w:tcPr>
            <w:tcW w:w="1418" w:type="dxa"/>
            <w:tcBorders>
              <w:top w:val="nil"/>
              <w:left w:val="nil"/>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40</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958</w:t>
            </w:r>
          </w:p>
        </w:tc>
        <w:tc>
          <w:tcPr>
            <w:tcW w:w="1134" w:type="dxa"/>
            <w:tcBorders>
              <w:top w:val="nil"/>
              <w:left w:val="nil"/>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39</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967</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52</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709</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52</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754</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51</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915</w:t>
            </w:r>
          </w:p>
        </w:tc>
      </w:tr>
    </w:tbl>
    <w:p w:rsidR="0053465C" w:rsidRDefault="0053465C" w:rsidP="00736E1E"/>
    <w:p w:rsidR="00996ABB" w:rsidRDefault="0053465C" w:rsidP="00996ABB">
      <w:pPr>
        <w:pStyle w:val="Heading2"/>
      </w:pPr>
      <w:bookmarkStart w:id="6" w:name="_Toc432599276"/>
      <w:r>
        <w:t xml:space="preserve">Youth Allowance (other) </w:t>
      </w:r>
      <w:r w:rsidR="00996ABB">
        <w:t>by Relationship Status</w:t>
      </w:r>
      <w:bookmarkEnd w:id="6"/>
    </w:p>
    <w:p w:rsidR="00996ABB" w:rsidRDefault="0053465C" w:rsidP="00996ABB">
      <w:r w:rsidRPr="0053465C">
        <w:t xml:space="preserve">At June 2015, 94% of </w:t>
      </w:r>
      <w:proofErr w:type="gramStart"/>
      <w:r w:rsidRPr="0053465C">
        <w:t>YA(</w:t>
      </w:r>
      <w:proofErr w:type="gramEnd"/>
      <w:r w:rsidRPr="0053465C">
        <w:t>o) recipients were single</w:t>
      </w:r>
      <w:r w:rsidR="00FF14C7">
        <w:t>.</w:t>
      </w:r>
      <w:r w:rsidRPr="0053465C">
        <w:t xml:space="preserve"> </w:t>
      </w:r>
      <w:r w:rsidR="00FF14C7">
        <w:t>T</w:t>
      </w:r>
      <w:r w:rsidRPr="0053465C">
        <w:t>he proportion has remained stable over time.</w:t>
      </w:r>
    </w:p>
    <w:tbl>
      <w:tblPr>
        <w:tblW w:w="9087" w:type="dxa"/>
        <w:tblInd w:w="93" w:type="dxa"/>
        <w:tblLook w:val="04A0" w:firstRow="1" w:lastRow="0" w:firstColumn="1" w:lastColumn="0" w:noHBand="0" w:noVBand="1"/>
      </w:tblPr>
      <w:tblGrid>
        <w:gridCol w:w="2992"/>
        <w:gridCol w:w="1418"/>
        <w:gridCol w:w="1134"/>
        <w:gridCol w:w="1275"/>
        <w:gridCol w:w="1134"/>
        <w:gridCol w:w="1134"/>
      </w:tblGrid>
      <w:tr w:rsidR="0053465C" w:rsidRPr="0053465C" w:rsidTr="00E625E8">
        <w:trPr>
          <w:trHeight w:val="498"/>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53465C" w:rsidRPr="0053465C" w:rsidRDefault="0053465C" w:rsidP="0053465C">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6: Youth Allowance (other) by Relationship Status</w:t>
            </w:r>
          </w:p>
        </w:tc>
      </w:tr>
      <w:tr w:rsidR="0053465C" w:rsidRPr="0053465C" w:rsidTr="0053465C">
        <w:trPr>
          <w:trHeight w:val="498"/>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rPr>
                <w:rFonts w:ascii="Calibri" w:eastAsia="Times New Roman" w:hAnsi="Calibri" w:cs="Times New Roman"/>
                <w:b/>
                <w:bCs/>
                <w:lang w:eastAsia="en-AU"/>
              </w:rPr>
            </w:pPr>
            <w:r>
              <w:rPr>
                <w:rFonts w:ascii="Calibri" w:eastAsia="Times New Roman" w:hAnsi="Calibri" w:cs="Times New Roman"/>
                <w:b/>
                <w:bCs/>
                <w:color w:val="000000"/>
                <w:lang w:eastAsia="en-AU"/>
              </w:rPr>
              <w:t>Relationship Status</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Jun-14</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b/>
                <w:bCs/>
                <w:color w:val="000000"/>
                <w:lang w:eastAsia="en-AU"/>
              </w:rPr>
            </w:pPr>
            <w:r w:rsidRPr="0053465C">
              <w:rPr>
                <w:rFonts w:ascii="Calibri" w:eastAsia="Times New Roman" w:hAnsi="Calibri" w:cs="Times New Roman"/>
                <w:b/>
                <w:bCs/>
                <w:color w:val="000000"/>
                <w:lang w:eastAsia="en-AU"/>
              </w:rPr>
              <w:t>Jun-15</w:t>
            </w:r>
          </w:p>
        </w:tc>
      </w:tr>
      <w:tr w:rsidR="0053465C" w:rsidRPr="0053465C" w:rsidTr="0053465C">
        <w:trPr>
          <w:trHeight w:val="300"/>
        </w:trPr>
        <w:tc>
          <w:tcPr>
            <w:tcW w:w="2992" w:type="dxa"/>
            <w:tcBorders>
              <w:top w:val="nil"/>
              <w:left w:val="single" w:sz="8" w:space="0" w:color="auto"/>
              <w:bottom w:val="single" w:sz="4" w:space="0" w:color="auto"/>
              <w:right w:val="single" w:sz="4" w:space="0" w:color="auto"/>
            </w:tcBorders>
            <w:shd w:val="clear" w:color="auto" w:fill="auto"/>
            <w:noWrap/>
            <w:hideMark/>
          </w:tcPr>
          <w:p w:rsidR="0053465C" w:rsidRPr="0053465C" w:rsidRDefault="0053465C" w:rsidP="0053465C">
            <w:pPr>
              <w:spacing w:after="0" w:line="240" w:lineRule="auto"/>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Not Partnered</w:t>
            </w:r>
          </w:p>
        </w:tc>
        <w:tc>
          <w:tcPr>
            <w:tcW w:w="1418"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79</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556</w:t>
            </w:r>
          </w:p>
        </w:tc>
        <w:tc>
          <w:tcPr>
            <w:tcW w:w="1134" w:type="dxa"/>
            <w:tcBorders>
              <w:top w:val="nil"/>
              <w:left w:val="nil"/>
              <w:bottom w:val="single" w:sz="4" w:space="0" w:color="auto"/>
              <w:right w:val="single" w:sz="4" w:space="0" w:color="auto"/>
            </w:tcBorders>
            <w:shd w:val="clear" w:color="auto" w:fill="auto"/>
            <w:noWrap/>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77</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366</w:t>
            </w:r>
          </w:p>
        </w:tc>
        <w:tc>
          <w:tcPr>
            <w:tcW w:w="1275"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104</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845</w:t>
            </w:r>
          </w:p>
        </w:tc>
        <w:tc>
          <w:tcPr>
            <w:tcW w:w="1134"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105</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613</w:t>
            </w:r>
          </w:p>
        </w:tc>
        <w:tc>
          <w:tcPr>
            <w:tcW w:w="1134"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105</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484</w:t>
            </w:r>
          </w:p>
        </w:tc>
      </w:tr>
      <w:tr w:rsidR="0053465C" w:rsidRPr="0053465C" w:rsidTr="0053465C">
        <w:trPr>
          <w:trHeight w:val="315"/>
        </w:trPr>
        <w:tc>
          <w:tcPr>
            <w:tcW w:w="2992" w:type="dxa"/>
            <w:tcBorders>
              <w:top w:val="nil"/>
              <w:left w:val="single" w:sz="8" w:space="0" w:color="auto"/>
              <w:bottom w:val="single" w:sz="8" w:space="0" w:color="auto"/>
              <w:right w:val="single" w:sz="4" w:space="0" w:color="auto"/>
            </w:tcBorders>
            <w:shd w:val="clear" w:color="auto" w:fill="auto"/>
            <w:noWrap/>
            <w:hideMark/>
          </w:tcPr>
          <w:p w:rsidR="0053465C" w:rsidRPr="0053465C" w:rsidRDefault="0053465C" w:rsidP="0053465C">
            <w:pPr>
              <w:spacing w:after="0" w:line="240" w:lineRule="auto"/>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Partnered</w:t>
            </w:r>
          </w:p>
        </w:tc>
        <w:tc>
          <w:tcPr>
            <w:tcW w:w="1418" w:type="dxa"/>
            <w:tcBorders>
              <w:top w:val="nil"/>
              <w:left w:val="nil"/>
              <w:bottom w:val="single" w:sz="4"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6</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416</w:t>
            </w:r>
          </w:p>
        </w:tc>
        <w:tc>
          <w:tcPr>
            <w:tcW w:w="1134" w:type="dxa"/>
            <w:tcBorders>
              <w:top w:val="nil"/>
              <w:left w:val="nil"/>
              <w:bottom w:val="single" w:sz="8" w:space="0" w:color="auto"/>
              <w:right w:val="single" w:sz="4" w:space="0" w:color="auto"/>
            </w:tcBorders>
            <w:shd w:val="clear" w:color="auto" w:fill="auto"/>
            <w:noWrap/>
            <w:vAlign w:val="center"/>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6</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436</w:t>
            </w:r>
          </w:p>
        </w:tc>
        <w:tc>
          <w:tcPr>
            <w:tcW w:w="1275" w:type="dxa"/>
            <w:tcBorders>
              <w:top w:val="nil"/>
              <w:left w:val="nil"/>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8</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995</w:t>
            </w:r>
          </w:p>
        </w:tc>
        <w:tc>
          <w:tcPr>
            <w:tcW w:w="1134" w:type="dxa"/>
            <w:tcBorders>
              <w:top w:val="nil"/>
              <w:left w:val="nil"/>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8</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385</w:t>
            </w:r>
          </w:p>
        </w:tc>
        <w:tc>
          <w:tcPr>
            <w:tcW w:w="1134" w:type="dxa"/>
            <w:tcBorders>
              <w:top w:val="nil"/>
              <w:left w:val="nil"/>
              <w:bottom w:val="single" w:sz="8" w:space="0" w:color="auto"/>
              <w:right w:val="single" w:sz="4" w:space="0" w:color="auto"/>
            </w:tcBorders>
            <w:shd w:val="clear" w:color="auto" w:fill="auto"/>
            <w:noWrap/>
            <w:vAlign w:val="bottom"/>
            <w:hideMark/>
          </w:tcPr>
          <w:p w:rsidR="0053465C" w:rsidRPr="0053465C" w:rsidRDefault="0053465C" w:rsidP="0053465C">
            <w:pPr>
              <w:spacing w:after="0" w:line="240" w:lineRule="auto"/>
              <w:jc w:val="right"/>
              <w:rPr>
                <w:rFonts w:ascii="Calibri" w:eastAsia="Times New Roman" w:hAnsi="Calibri" w:cs="Times New Roman"/>
                <w:color w:val="000000"/>
                <w:lang w:eastAsia="en-AU"/>
              </w:rPr>
            </w:pPr>
            <w:r w:rsidRPr="0053465C">
              <w:rPr>
                <w:rFonts w:ascii="Calibri" w:eastAsia="Times New Roman" w:hAnsi="Calibri" w:cs="Times New Roman"/>
                <w:color w:val="000000"/>
                <w:lang w:eastAsia="en-AU"/>
              </w:rPr>
              <w:t>7</w:t>
            </w:r>
            <w:r>
              <w:rPr>
                <w:rFonts w:ascii="Calibri" w:eastAsia="Times New Roman" w:hAnsi="Calibri" w:cs="Times New Roman"/>
                <w:color w:val="000000"/>
                <w:lang w:eastAsia="en-AU"/>
              </w:rPr>
              <w:t>,</w:t>
            </w:r>
            <w:r w:rsidRPr="0053465C">
              <w:rPr>
                <w:rFonts w:ascii="Calibri" w:eastAsia="Times New Roman" w:hAnsi="Calibri" w:cs="Times New Roman"/>
                <w:color w:val="000000"/>
                <w:lang w:eastAsia="en-AU"/>
              </w:rPr>
              <w:t>136</w:t>
            </w:r>
          </w:p>
        </w:tc>
      </w:tr>
    </w:tbl>
    <w:p w:rsidR="0053465C" w:rsidRDefault="0053465C" w:rsidP="00996ABB"/>
    <w:p w:rsidR="00996ABB" w:rsidRDefault="008B15E6" w:rsidP="00996ABB">
      <w:pPr>
        <w:pStyle w:val="Heading2"/>
      </w:pPr>
      <w:bookmarkStart w:id="7" w:name="_Toc432599277"/>
      <w:r>
        <w:lastRenderedPageBreak/>
        <w:t xml:space="preserve">Youth Allowance (other) </w:t>
      </w:r>
      <w:r w:rsidR="00996ABB">
        <w:t>by Indigenous Indicator</w:t>
      </w:r>
      <w:bookmarkEnd w:id="7"/>
    </w:p>
    <w:p w:rsidR="00996ABB" w:rsidRDefault="008B15E6" w:rsidP="00996ABB">
      <w:r w:rsidRPr="008B15E6">
        <w:t>The Indigenous proportion of the total YA (o) population has remained fairly stable over time. At June 2015 the indigenous proportion of YA(o) was 16.2%, while the indigenous proportion of the population aged 15-21 years is around 4% (ABS Census 2011).  Indigenous recipients include only those who have voluntarily identified as Indigenous.</w:t>
      </w:r>
    </w:p>
    <w:tbl>
      <w:tblPr>
        <w:tblW w:w="9087" w:type="dxa"/>
        <w:tblInd w:w="93" w:type="dxa"/>
        <w:tblLook w:val="04A0" w:firstRow="1" w:lastRow="0" w:firstColumn="1" w:lastColumn="0" w:noHBand="0" w:noVBand="1"/>
      </w:tblPr>
      <w:tblGrid>
        <w:gridCol w:w="2850"/>
        <w:gridCol w:w="1276"/>
        <w:gridCol w:w="1276"/>
        <w:gridCol w:w="1276"/>
        <w:gridCol w:w="1275"/>
        <w:gridCol w:w="1134"/>
      </w:tblGrid>
      <w:tr w:rsidR="008B15E6" w:rsidRPr="008B15E6" w:rsidTr="008B15E6">
        <w:trPr>
          <w:trHeight w:val="458"/>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8B15E6" w:rsidRPr="008B15E6" w:rsidRDefault="008B15E6" w:rsidP="008B15E6">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7: Youth Allowance (other) by Indigenous Indicator</w:t>
            </w:r>
          </w:p>
        </w:tc>
      </w:tr>
      <w:tr w:rsidR="008B15E6" w:rsidRPr="008B15E6" w:rsidTr="008B15E6">
        <w:trPr>
          <w:trHeight w:val="458"/>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rPr>
                <w:rFonts w:ascii="Calibri" w:eastAsia="Times New Roman" w:hAnsi="Calibri" w:cs="Times New Roman"/>
                <w:b/>
                <w:bCs/>
                <w:lang w:eastAsia="en-AU"/>
              </w:rPr>
            </w:pPr>
            <w:r w:rsidRPr="00996ABB">
              <w:rPr>
                <w:rFonts w:ascii="Calibri" w:eastAsia="Times New Roman" w:hAnsi="Calibri" w:cs="Times New Roman"/>
                <w:b/>
                <w:bCs/>
                <w:lang w:eastAsia="en-AU"/>
              </w:rPr>
              <w:t>Indigenous</w:t>
            </w:r>
            <w:r>
              <w:rPr>
                <w:rFonts w:ascii="Calibri" w:eastAsia="Times New Roman" w:hAnsi="Calibri" w:cs="Times New Roman"/>
                <w:b/>
                <w:bCs/>
                <w:lang w:eastAsia="en-AU"/>
              </w:rPr>
              <w:t xml:space="preserve"> Indicator</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Jun-12</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Jun-13</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Jun-14</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Jun-15</w:t>
            </w:r>
          </w:p>
        </w:tc>
      </w:tr>
      <w:tr w:rsidR="008B15E6" w:rsidRPr="008B15E6" w:rsidTr="008B15E6">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Non Indigenous</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71,968</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70,617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96,239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96,220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94,335</w:t>
            </w:r>
          </w:p>
        </w:tc>
      </w:tr>
      <w:tr w:rsidR="008B15E6" w:rsidRPr="008B15E6" w:rsidTr="008B15E6">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Indigenous</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14,004</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13,185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17,601</w:t>
            </w:r>
          </w:p>
        </w:tc>
        <w:tc>
          <w:tcPr>
            <w:tcW w:w="1275"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17,778</w:t>
            </w:r>
          </w:p>
        </w:tc>
        <w:tc>
          <w:tcPr>
            <w:tcW w:w="1134"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18,285</w:t>
            </w:r>
          </w:p>
        </w:tc>
      </w:tr>
      <w:tr w:rsidR="008B15E6" w:rsidRPr="008B15E6" w:rsidTr="008B15E6">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rPr>
                <w:rFonts w:ascii="Calibri" w:eastAsia="Times New Roman" w:hAnsi="Calibri" w:cs="Times New Roman"/>
                <w:lang w:eastAsia="en-AU"/>
              </w:rPr>
            </w:pPr>
            <w:r w:rsidRPr="008B15E6">
              <w:rPr>
                <w:rFonts w:ascii="Calibri" w:eastAsia="Times New Roman" w:hAnsi="Calibri" w:cs="Times New Roman"/>
                <w:lang w:eastAsia="en-AU"/>
              </w:rPr>
              <w:t>Percentage</w:t>
            </w:r>
          </w:p>
        </w:tc>
        <w:tc>
          <w:tcPr>
            <w:tcW w:w="1276" w:type="dxa"/>
            <w:tcBorders>
              <w:top w:val="nil"/>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lang w:eastAsia="en-AU"/>
              </w:rPr>
            </w:pPr>
            <w:r w:rsidRPr="008B15E6">
              <w:rPr>
                <w:rFonts w:ascii="Calibri" w:eastAsia="Times New Roman" w:hAnsi="Calibri" w:cs="Times New Roman"/>
                <w:lang w:eastAsia="en-AU"/>
              </w:rPr>
              <w:t>16.3%</w:t>
            </w:r>
          </w:p>
        </w:tc>
        <w:tc>
          <w:tcPr>
            <w:tcW w:w="1276" w:type="dxa"/>
            <w:tcBorders>
              <w:top w:val="nil"/>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lang w:eastAsia="en-AU"/>
              </w:rPr>
            </w:pPr>
            <w:r w:rsidRPr="008B15E6">
              <w:rPr>
                <w:rFonts w:ascii="Calibri" w:eastAsia="Times New Roman" w:hAnsi="Calibri" w:cs="Times New Roman"/>
                <w:lang w:eastAsia="en-AU"/>
              </w:rPr>
              <w:t>15.7%</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15.5%</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15.6%</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16.2%</w:t>
            </w:r>
          </w:p>
        </w:tc>
      </w:tr>
    </w:tbl>
    <w:p w:rsidR="00996ABB" w:rsidRDefault="00C07B4A" w:rsidP="00996ABB">
      <w:pPr>
        <w:pStyle w:val="Heading2"/>
      </w:pPr>
      <w:r>
        <w:br/>
      </w:r>
      <w:bookmarkStart w:id="8" w:name="_Toc432599278"/>
      <w:r w:rsidR="008B15E6">
        <w:t xml:space="preserve">Youth Allowance (other) </w:t>
      </w:r>
      <w:r w:rsidR="00996ABB">
        <w:t>by Rate of Payment</w:t>
      </w:r>
      <w:bookmarkEnd w:id="8"/>
    </w:p>
    <w:p w:rsidR="00996ABB" w:rsidRDefault="008B15E6" w:rsidP="00996ABB">
      <w:r w:rsidRPr="008B15E6">
        <w:t>The proportion of recipients on full-rate is comparable with June 2014 with a small increase from 81.4% at June 2014 to 81.9% at June 2015.  'Other' includes those recipients who were yet to be paid.</w:t>
      </w:r>
    </w:p>
    <w:tbl>
      <w:tblPr>
        <w:tblW w:w="9087" w:type="dxa"/>
        <w:tblInd w:w="93" w:type="dxa"/>
        <w:tblLook w:val="04A0" w:firstRow="1" w:lastRow="0" w:firstColumn="1" w:lastColumn="0" w:noHBand="0" w:noVBand="1"/>
      </w:tblPr>
      <w:tblGrid>
        <w:gridCol w:w="2850"/>
        <w:gridCol w:w="1276"/>
        <w:gridCol w:w="1276"/>
        <w:gridCol w:w="1276"/>
        <w:gridCol w:w="1275"/>
        <w:gridCol w:w="1134"/>
      </w:tblGrid>
      <w:tr w:rsidR="008B15E6" w:rsidRPr="008B15E6" w:rsidTr="008B15E6">
        <w:trPr>
          <w:trHeight w:val="410"/>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8B15E6" w:rsidRPr="008B15E6" w:rsidRDefault="008B15E6" w:rsidP="008B15E6">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8: Youth Allowance (other) by Rate of Payment</w:t>
            </w:r>
          </w:p>
        </w:tc>
      </w:tr>
      <w:tr w:rsidR="008B15E6" w:rsidRPr="008B15E6" w:rsidTr="008B15E6">
        <w:trPr>
          <w:trHeight w:val="410"/>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rPr>
                <w:rFonts w:ascii="Calibri" w:eastAsia="Times New Roman" w:hAnsi="Calibri" w:cs="Times New Roman"/>
                <w:b/>
                <w:bCs/>
                <w:lang w:eastAsia="en-AU"/>
              </w:rPr>
            </w:pPr>
            <w:r w:rsidRPr="002459E4">
              <w:rPr>
                <w:rFonts w:ascii="Calibri" w:eastAsia="Times New Roman" w:hAnsi="Calibri" w:cs="Times New Roman"/>
                <w:b/>
                <w:bCs/>
                <w:lang w:eastAsia="en-AU"/>
              </w:rPr>
              <w:t>Rate</w:t>
            </w:r>
            <w:r>
              <w:rPr>
                <w:rFonts w:ascii="Calibri" w:eastAsia="Times New Roman" w:hAnsi="Calibri" w:cs="Times New Roman"/>
                <w:b/>
                <w:bCs/>
                <w:lang w:eastAsia="en-AU"/>
              </w:rPr>
              <w:t xml:space="preserve"> of Payment</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Jun-12</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Jun-13</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Jun-14</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B15E6" w:rsidRPr="008B15E6" w:rsidRDefault="008B15E6" w:rsidP="008B15E6">
            <w:pPr>
              <w:spacing w:after="0" w:line="240" w:lineRule="auto"/>
              <w:jc w:val="right"/>
              <w:rPr>
                <w:rFonts w:ascii="Calibri" w:eastAsia="Times New Roman" w:hAnsi="Calibri" w:cs="Times New Roman"/>
                <w:b/>
                <w:bCs/>
                <w:color w:val="000000"/>
                <w:lang w:eastAsia="en-AU"/>
              </w:rPr>
            </w:pPr>
            <w:r w:rsidRPr="008B15E6">
              <w:rPr>
                <w:rFonts w:ascii="Calibri" w:eastAsia="Times New Roman" w:hAnsi="Calibri" w:cs="Times New Roman"/>
                <w:b/>
                <w:bCs/>
                <w:color w:val="000000"/>
                <w:lang w:eastAsia="en-AU"/>
              </w:rPr>
              <w:t>Jun-15</w:t>
            </w:r>
          </w:p>
        </w:tc>
      </w:tr>
      <w:tr w:rsidR="008B15E6" w:rsidRPr="008B15E6" w:rsidTr="008B15E6">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Full Rate</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69</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743</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66</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948</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93</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224</w:t>
            </w:r>
          </w:p>
        </w:tc>
        <w:tc>
          <w:tcPr>
            <w:tcW w:w="1275"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92</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824</w:t>
            </w:r>
          </w:p>
        </w:tc>
        <w:tc>
          <w:tcPr>
            <w:tcW w:w="1134"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92</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282</w:t>
            </w:r>
          </w:p>
        </w:tc>
      </w:tr>
      <w:tr w:rsidR="008B15E6" w:rsidRPr="008B15E6" w:rsidTr="008B15E6">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Part Rate</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12</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516</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13</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134</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16</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338</w:t>
            </w:r>
          </w:p>
        </w:tc>
        <w:tc>
          <w:tcPr>
            <w:tcW w:w="1275"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16</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329</w:t>
            </w:r>
          </w:p>
        </w:tc>
        <w:tc>
          <w:tcPr>
            <w:tcW w:w="1134"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16</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225</w:t>
            </w:r>
          </w:p>
        </w:tc>
      </w:tr>
      <w:tr w:rsidR="008B15E6" w:rsidRPr="008B15E6" w:rsidTr="008B15E6">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Zero Rate</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2</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634</w:t>
            </w:r>
          </w:p>
        </w:tc>
        <w:tc>
          <w:tcPr>
            <w:tcW w:w="1276" w:type="dxa"/>
            <w:tcBorders>
              <w:top w:val="nil"/>
              <w:left w:val="nil"/>
              <w:bottom w:val="single" w:sz="4" w:space="0" w:color="000000"/>
              <w:right w:val="single" w:sz="4" w:space="0" w:color="000000"/>
            </w:tcBorders>
            <w:shd w:val="clear" w:color="auto" w:fill="auto"/>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2</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649</w:t>
            </w:r>
          </w:p>
        </w:tc>
        <w:tc>
          <w:tcPr>
            <w:tcW w:w="1276"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3</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108</w:t>
            </w:r>
          </w:p>
        </w:tc>
        <w:tc>
          <w:tcPr>
            <w:tcW w:w="1275"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3</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277</w:t>
            </w:r>
          </w:p>
        </w:tc>
        <w:tc>
          <w:tcPr>
            <w:tcW w:w="1134" w:type="dxa"/>
            <w:tcBorders>
              <w:top w:val="nil"/>
              <w:left w:val="nil"/>
              <w:bottom w:val="single" w:sz="4"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3</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101</w:t>
            </w:r>
          </w:p>
        </w:tc>
      </w:tr>
      <w:tr w:rsidR="008B15E6" w:rsidRPr="008B15E6" w:rsidTr="008B15E6">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Other</w:t>
            </w:r>
          </w:p>
        </w:tc>
        <w:tc>
          <w:tcPr>
            <w:tcW w:w="1276" w:type="dxa"/>
            <w:tcBorders>
              <w:top w:val="nil"/>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079</w:t>
            </w:r>
          </w:p>
        </w:tc>
        <w:tc>
          <w:tcPr>
            <w:tcW w:w="1276" w:type="dxa"/>
            <w:tcBorders>
              <w:top w:val="nil"/>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071</w:t>
            </w:r>
          </w:p>
        </w:tc>
        <w:tc>
          <w:tcPr>
            <w:tcW w:w="1276" w:type="dxa"/>
            <w:tcBorders>
              <w:top w:val="nil"/>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170</w:t>
            </w:r>
          </w:p>
        </w:tc>
        <w:tc>
          <w:tcPr>
            <w:tcW w:w="1275" w:type="dxa"/>
            <w:tcBorders>
              <w:top w:val="nil"/>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568</w:t>
            </w:r>
          </w:p>
        </w:tc>
        <w:tc>
          <w:tcPr>
            <w:tcW w:w="1134" w:type="dxa"/>
            <w:tcBorders>
              <w:top w:val="nil"/>
              <w:left w:val="nil"/>
              <w:bottom w:val="single" w:sz="8" w:space="0" w:color="auto"/>
              <w:right w:val="single" w:sz="4" w:space="0" w:color="auto"/>
            </w:tcBorders>
            <w:shd w:val="clear" w:color="auto" w:fill="auto"/>
            <w:noWrap/>
            <w:vAlign w:val="bottom"/>
            <w:hideMark/>
          </w:tcPr>
          <w:p w:rsidR="008B15E6" w:rsidRPr="008B15E6" w:rsidRDefault="008B15E6" w:rsidP="008B15E6">
            <w:pPr>
              <w:spacing w:after="0" w:line="240" w:lineRule="auto"/>
              <w:jc w:val="right"/>
              <w:rPr>
                <w:rFonts w:ascii="Calibri" w:eastAsia="Times New Roman" w:hAnsi="Calibri" w:cs="Times New Roman"/>
                <w:color w:val="000000"/>
                <w:lang w:eastAsia="en-AU"/>
              </w:rPr>
            </w:pPr>
            <w:r w:rsidRPr="008B15E6">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8B15E6">
              <w:rPr>
                <w:rFonts w:ascii="Calibri" w:eastAsia="Times New Roman" w:hAnsi="Calibri" w:cs="Times New Roman"/>
                <w:color w:val="000000"/>
                <w:lang w:eastAsia="en-AU"/>
              </w:rPr>
              <w:t>012</w:t>
            </w:r>
          </w:p>
        </w:tc>
      </w:tr>
    </w:tbl>
    <w:p w:rsidR="002459E4" w:rsidRDefault="00C07B4A" w:rsidP="002459E4">
      <w:pPr>
        <w:pStyle w:val="Heading2"/>
      </w:pPr>
      <w:r>
        <w:br/>
      </w:r>
      <w:bookmarkStart w:id="9" w:name="_Toc432599279"/>
      <w:r w:rsidR="00A94FE8">
        <w:t xml:space="preserve">Youth Allowance (other) </w:t>
      </w:r>
      <w:r w:rsidR="002459E4">
        <w:t>by Earnings</w:t>
      </w:r>
      <w:bookmarkEnd w:id="9"/>
    </w:p>
    <w:p w:rsidR="002459E4" w:rsidRDefault="00A94FE8" w:rsidP="002459E4">
      <w:r w:rsidRPr="00A94FE8">
        <w:t xml:space="preserve">The proportion of recipients reporting earnings has remained relatively stable over time. 18.4% of </w:t>
      </w:r>
      <w:proofErr w:type="gramStart"/>
      <w:r w:rsidRPr="00A94FE8">
        <w:t>YA(</w:t>
      </w:r>
      <w:proofErr w:type="gramEnd"/>
      <w:r w:rsidRPr="00A94FE8">
        <w:t>o) recipients had earnings as at June 2015, slightly down from 18.5% at June 2014.</w:t>
      </w:r>
    </w:p>
    <w:tbl>
      <w:tblPr>
        <w:tblW w:w="9087" w:type="dxa"/>
        <w:tblInd w:w="93" w:type="dxa"/>
        <w:tblLook w:val="04A0" w:firstRow="1" w:lastRow="0" w:firstColumn="1" w:lastColumn="0" w:noHBand="0" w:noVBand="1"/>
      </w:tblPr>
      <w:tblGrid>
        <w:gridCol w:w="2850"/>
        <w:gridCol w:w="1276"/>
        <w:gridCol w:w="1276"/>
        <w:gridCol w:w="1276"/>
        <w:gridCol w:w="1275"/>
        <w:gridCol w:w="1134"/>
      </w:tblGrid>
      <w:tr w:rsidR="00A94FE8" w:rsidRPr="00A94FE8" w:rsidTr="00A94FE8">
        <w:trPr>
          <w:trHeight w:val="422"/>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A94FE8" w:rsidRPr="00A94FE8" w:rsidRDefault="00A94FE8" w:rsidP="00A94FE8">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9: Youth Allowance (other) by Earnings</w:t>
            </w:r>
          </w:p>
        </w:tc>
      </w:tr>
      <w:tr w:rsidR="00A94FE8" w:rsidRPr="00A94FE8" w:rsidTr="00A94FE8">
        <w:trPr>
          <w:trHeight w:val="422"/>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 xml:space="preserve">Reporting </w:t>
            </w:r>
            <w:r w:rsidRPr="002459E4">
              <w:rPr>
                <w:rFonts w:ascii="Calibri" w:eastAsia="Times New Roman" w:hAnsi="Calibri" w:cs="Times New Roman"/>
                <w:b/>
                <w:bCs/>
                <w:lang w:eastAsia="en-AU"/>
              </w:rPr>
              <w:t>Earnings</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Jun-12</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Jun-13</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Jun-14</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Jun-15</w:t>
            </w:r>
          </w:p>
        </w:tc>
      </w:tr>
      <w:tr w:rsidR="00A94FE8" w:rsidRPr="00A94FE8" w:rsidTr="00A94FE8">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Nil Earnings</w:t>
            </w:r>
          </w:p>
        </w:tc>
        <w:tc>
          <w:tcPr>
            <w:tcW w:w="1276"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71</w:t>
            </w:r>
            <w:r>
              <w:rPr>
                <w:rFonts w:ascii="Calibri" w:eastAsia="Times New Roman" w:hAnsi="Calibri" w:cs="Times New Roman"/>
                <w:color w:val="000000"/>
                <w:lang w:eastAsia="en-AU"/>
              </w:rPr>
              <w:t>,</w:t>
            </w:r>
            <w:r w:rsidRPr="00A94FE8">
              <w:rPr>
                <w:rFonts w:ascii="Calibri" w:eastAsia="Times New Roman" w:hAnsi="Calibri" w:cs="Times New Roman"/>
                <w:color w:val="000000"/>
                <w:lang w:eastAsia="en-AU"/>
              </w:rPr>
              <w:t>858</w:t>
            </w:r>
          </w:p>
        </w:tc>
        <w:tc>
          <w:tcPr>
            <w:tcW w:w="1276" w:type="dxa"/>
            <w:tcBorders>
              <w:top w:val="nil"/>
              <w:left w:val="nil"/>
              <w:bottom w:val="single" w:sz="4" w:space="0" w:color="000000"/>
              <w:right w:val="single" w:sz="4" w:space="0" w:color="000000"/>
            </w:tcBorders>
            <w:shd w:val="clear" w:color="auto" w:fill="auto"/>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69</w:t>
            </w:r>
            <w:r>
              <w:rPr>
                <w:rFonts w:ascii="Calibri" w:eastAsia="Times New Roman" w:hAnsi="Calibri" w:cs="Times New Roman"/>
                <w:color w:val="000000"/>
                <w:lang w:eastAsia="en-AU"/>
              </w:rPr>
              <w:t>,</w:t>
            </w:r>
            <w:r w:rsidRPr="00A94FE8">
              <w:rPr>
                <w:rFonts w:ascii="Calibri" w:eastAsia="Times New Roman" w:hAnsi="Calibri" w:cs="Times New Roman"/>
                <w:color w:val="000000"/>
                <w:lang w:eastAsia="en-AU"/>
              </w:rPr>
              <w:t>650</w:t>
            </w:r>
          </w:p>
        </w:tc>
        <w:tc>
          <w:tcPr>
            <w:tcW w:w="1276"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93</w:t>
            </w:r>
            <w:r>
              <w:rPr>
                <w:rFonts w:ascii="Calibri" w:eastAsia="Times New Roman" w:hAnsi="Calibri" w:cs="Times New Roman"/>
                <w:color w:val="000000"/>
                <w:lang w:eastAsia="en-AU"/>
              </w:rPr>
              <w:t>,</w:t>
            </w:r>
            <w:r w:rsidRPr="00A94FE8">
              <w:rPr>
                <w:rFonts w:ascii="Calibri" w:eastAsia="Times New Roman" w:hAnsi="Calibri" w:cs="Times New Roman"/>
                <w:color w:val="000000"/>
                <w:lang w:eastAsia="en-AU"/>
              </w:rPr>
              <w:t>171</w:t>
            </w:r>
          </w:p>
        </w:tc>
        <w:tc>
          <w:tcPr>
            <w:tcW w:w="1275"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92</w:t>
            </w:r>
            <w:r>
              <w:rPr>
                <w:rFonts w:ascii="Calibri" w:eastAsia="Times New Roman" w:hAnsi="Calibri" w:cs="Times New Roman"/>
                <w:color w:val="000000"/>
                <w:lang w:eastAsia="en-AU"/>
              </w:rPr>
              <w:t>,</w:t>
            </w:r>
            <w:r w:rsidRPr="00A94FE8">
              <w:rPr>
                <w:rFonts w:ascii="Calibri" w:eastAsia="Times New Roman" w:hAnsi="Calibri" w:cs="Times New Roman"/>
                <w:color w:val="000000"/>
                <w:lang w:eastAsia="en-AU"/>
              </w:rPr>
              <w:t>862</w:t>
            </w:r>
          </w:p>
        </w:tc>
        <w:tc>
          <w:tcPr>
            <w:tcW w:w="1134"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91</w:t>
            </w:r>
            <w:r>
              <w:rPr>
                <w:rFonts w:ascii="Calibri" w:eastAsia="Times New Roman" w:hAnsi="Calibri" w:cs="Times New Roman"/>
                <w:color w:val="000000"/>
                <w:lang w:eastAsia="en-AU"/>
              </w:rPr>
              <w:t>,</w:t>
            </w:r>
            <w:r w:rsidRPr="00A94FE8">
              <w:rPr>
                <w:rFonts w:ascii="Calibri" w:eastAsia="Times New Roman" w:hAnsi="Calibri" w:cs="Times New Roman"/>
                <w:color w:val="000000"/>
                <w:lang w:eastAsia="en-AU"/>
              </w:rPr>
              <w:t>902</w:t>
            </w:r>
          </w:p>
        </w:tc>
      </w:tr>
      <w:tr w:rsidR="00A94FE8" w:rsidRPr="00A94FE8" w:rsidTr="00A94FE8">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A94FE8" w:rsidRPr="00A94FE8" w:rsidRDefault="00A94FE8" w:rsidP="00A94FE8">
            <w:pPr>
              <w:spacing w:after="0" w:line="240" w:lineRule="auto"/>
              <w:rPr>
                <w:rFonts w:ascii="Calibri" w:eastAsia="Times New Roman" w:hAnsi="Calibri" w:cs="Times New Roman"/>
                <w:lang w:eastAsia="en-AU"/>
              </w:rPr>
            </w:pPr>
            <w:r w:rsidRPr="00A94FE8">
              <w:rPr>
                <w:rFonts w:ascii="Calibri" w:eastAsia="Times New Roman" w:hAnsi="Calibri" w:cs="Times New Roman"/>
                <w:lang w:eastAsia="en-AU"/>
              </w:rPr>
              <w:t>Had Earnings</w:t>
            </w:r>
          </w:p>
        </w:tc>
        <w:tc>
          <w:tcPr>
            <w:tcW w:w="1276" w:type="dxa"/>
            <w:tcBorders>
              <w:top w:val="nil"/>
              <w:left w:val="nil"/>
              <w:bottom w:val="single" w:sz="8"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lang w:eastAsia="en-AU"/>
              </w:rPr>
            </w:pPr>
            <w:r w:rsidRPr="00A94FE8">
              <w:rPr>
                <w:rFonts w:ascii="Calibri" w:eastAsia="Times New Roman" w:hAnsi="Calibri" w:cs="Times New Roman"/>
                <w:lang w:eastAsia="en-AU"/>
              </w:rPr>
              <w:t>14</w:t>
            </w:r>
            <w:r>
              <w:rPr>
                <w:rFonts w:ascii="Calibri" w:eastAsia="Times New Roman" w:hAnsi="Calibri" w:cs="Times New Roman"/>
                <w:lang w:eastAsia="en-AU"/>
              </w:rPr>
              <w:t>,</w:t>
            </w:r>
            <w:r w:rsidRPr="00A94FE8">
              <w:rPr>
                <w:rFonts w:ascii="Calibri" w:eastAsia="Times New Roman" w:hAnsi="Calibri" w:cs="Times New Roman"/>
                <w:lang w:eastAsia="en-AU"/>
              </w:rPr>
              <w:t>114</w:t>
            </w:r>
          </w:p>
        </w:tc>
        <w:tc>
          <w:tcPr>
            <w:tcW w:w="1276" w:type="dxa"/>
            <w:tcBorders>
              <w:top w:val="single" w:sz="4" w:space="0" w:color="000000"/>
              <w:left w:val="nil"/>
              <w:bottom w:val="single" w:sz="4" w:space="0" w:color="auto"/>
              <w:right w:val="single" w:sz="4" w:space="0" w:color="000000"/>
            </w:tcBorders>
            <w:shd w:val="clear" w:color="auto" w:fill="auto"/>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14</w:t>
            </w:r>
            <w:r>
              <w:rPr>
                <w:rFonts w:ascii="Calibri" w:eastAsia="Times New Roman" w:hAnsi="Calibri" w:cs="Times New Roman"/>
                <w:color w:val="000000"/>
                <w:lang w:eastAsia="en-AU"/>
              </w:rPr>
              <w:t>,</w:t>
            </w:r>
            <w:r w:rsidRPr="00A94FE8">
              <w:rPr>
                <w:rFonts w:ascii="Calibri" w:eastAsia="Times New Roman" w:hAnsi="Calibri" w:cs="Times New Roman"/>
                <w:color w:val="000000"/>
                <w:lang w:eastAsia="en-AU"/>
              </w:rPr>
              <w:t>152</w:t>
            </w:r>
          </w:p>
        </w:tc>
        <w:tc>
          <w:tcPr>
            <w:tcW w:w="1276" w:type="dxa"/>
            <w:tcBorders>
              <w:top w:val="nil"/>
              <w:left w:val="nil"/>
              <w:bottom w:val="single" w:sz="8"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lang w:eastAsia="en-AU"/>
              </w:rPr>
            </w:pPr>
            <w:r w:rsidRPr="00A94FE8">
              <w:rPr>
                <w:rFonts w:ascii="Calibri" w:eastAsia="Times New Roman" w:hAnsi="Calibri" w:cs="Times New Roman"/>
                <w:lang w:eastAsia="en-AU"/>
              </w:rPr>
              <w:t>20</w:t>
            </w:r>
            <w:r>
              <w:rPr>
                <w:rFonts w:ascii="Calibri" w:eastAsia="Times New Roman" w:hAnsi="Calibri" w:cs="Times New Roman"/>
                <w:lang w:eastAsia="en-AU"/>
              </w:rPr>
              <w:t>,</w:t>
            </w:r>
            <w:r w:rsidRPr="00A94FE8">
              <w:rPr>
                <w:rFonts w:ascii="Calibri" w:eastAsia="Times New Roman" w:hAnsi="Calibri" w:cs="Times New Roman"/>
                <w:lang w:eastAsia="en-AU"/>
              </w:rPr>
              <w:t>669</w:t>
            </w:r>
          </w:p>
        </w:tc>
        <w:tc>
          <w:tcPr>
            <w:tcW w:w="1275" w:type="dxa"/>
            <w:tcBorders>
              <w:top w:val="nil"/>
              <w:left w:val="nil"/>
              <w:bottom w:val="single" w:sz="8"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21</w:t>
            </w:r>
            <w:r>
              <w:rPr>
                <w:rFonts w:ascii="Calibri" w:eastAsia="Times New Roman" w:hAnsi="Calibri" w:cs="Times New Roman"/>
                <w:color w:val="000000"/>
                <w:lang w:eastAsia="en-AU"/>
              </w:rPr>
              <w:t>,</w:t>
            </w:r>
            <w:r w:rsidRPr="00A94FE8">
              <w:rPr>
                <w:rFonts w:ascii="Calibri" w:eastAsia="Times New Roman" w:hAnsi="Calibri" w:cs="Times New Roman"/>
                <w:color w:val="000000"/>
                <w:lang w:eastAsia="en-AU"/>
              </w:rPr>
              <w:t>136</w:t>
            </w:r>
          </w:p>
        </w:tc>
        <w:tc>
          <w:tcPr>
            <w:tcW w:w="1134" w:type="dxa"/>
            <w:tcBorders>
              <w:top w:val="nil"/>
              <w:left w:val="nil"/>
              <w:bottom w:val="single" w:sz="8"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20</w:t>
            </w:r>
            <w:r>
              <w:rPr>
                <w:rFonts w:ascii="Calibri" w:eastAsia="Times New Roman" w:hAnsi="Calibri" w:cs="Times New Roman"/>
                <w:color w:val="000000"/>
                <w:lang w:eastAsia="en-AU"/>
              </w:rPr>
              <w:t>,</w:t>
            </w:r>
            <w:r w:rsidRPr="00A94FE8">
              <w:rPr>
                <w:rFonts w:ascii="Calibri" w:eastAsia="Times New Roman" w:hAnsi="Calibri" w:cs="Times New Roman"/>
                <w:color w:val="000000"/>
                <w:lang w:eastAsia="en-AU"/>
              </w:rPr>
              <w:t>718</w:t>
            </w:r>
          </w:p>
        </w:tc>
      </w:tr>
    </w:tbl>
    <w:p w:rsidR="00C07B4A" w:rsidRDefault="00C07B4A" w:rsidP="002459E4">
      <w:pPr>
        <w:pStyle w:val="Heading2"/>
      </w:pPr>
    </w:p>
    <w:p w:rsidR="00C07B4A" w:rsidRDefault="00C07B4A" w:rsidP="00C07B4A">
      <w:pPr>
        <w:rPr>
          <w:rFonts w:asciiTheme="majorHAnsi" w:eastAsiaTheme="majorEastAsia" w:hAnsiTheme="majorHAnsi" w:cstheme="majorBidi"/>
          <w:color w:val="4F81BD" w:themeColor="accent1"/>
          <w:sz w:val="26"/>
          <w:szCs w:val="26"/>
        </w:rPr>
      </w:pPr>
      <w:r>
        <w:br w:type="page"/>
      </w:r>
    </w:p>
    <w:p w:rsidR="002459E4" w:rsidRDefault="00A94FE8" w:rsidP="002459E4">
      <w:pPr>
        <w:pStyle w:val="Heading2"/>
      </w:pPr>
      <w:bookmarkStart w:id="10" w:name="_Toc432599280"/>
      <w:r>
        <w:lastRenderedPageBreak/>
        <w:t xml:space="preserve">Youth Allowance (other) </w:t>
      </w:r>
      <w:r w:rsidR="002459E4">
        <w:t>by Duration on Income Support</w:t>
      </w:r>
      <w:bookmarkEnd w:id="10"/>
    </w:p>
    <w:p w:rsidR="002459E4" w:rsidRDefault="00A94FE8" w:rsidP="002459E4">
      <w:r w:rsidRPr="00A94FE8">
        <w:t>As at June 2015, 58.4% of recipients were classified as long-term</w:t>
      </w:r>
      <w:r w:rsidR="00FF14C7">
        <w:t>.</w:t>
      </w:r>
      <w:r w:rsidRPr="00A94FE8">
        <w:t xml:space="preserve"> </w:t>
      </w:r>
      <w:r w:rsidR="00FF14C7">
        <w:t>T</w:t>
      </w:r>
      <w:r w:rsidRPr="00A94FE8">
        <w:t>he proportion has increased from 57.1% at June 2014. Duration refers to duration on Income Support and may not reflect duration on current payment type.</w:t>
      </w:r>
    </w:p>
    <w:tbl>
      <w:tblPr>
        <w:tblW w:w="9087" w:type="dxa"/>
        <w:tblInd w:w="93" w:type="dxa"/>
        <w:tblLook w:val="04A0" w:firstRow="1" w:lastRow="0" w:firstColumn="1" w:lastColumn="0" w:noHBand="0" w:noVBand="1"/>
      </w:tblPr>
      <w:tblGrid>
        <w:gridCol w:w="2850"/>
        <w:gridCol w:w="1276"/>
        <w:gridCol w:w="1276"/>
        <w:gridCol w:w="1276"/>
        <w:gridCol w:w="1275"/>
        <w:gridCol w:w="1134"/>
      </w:tblGrid>
      <w:tr w:rsidR="00A94FE8" w:rsidRPr="00A94FE8" w:rsidTr="00A94FE8">
        <w:trPr>
          <w:trHeight w:val="337"/>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94FE8" w:rsidRPr="00A94FE8" w:rsidRDefault="00A94FE8" w:rsidP="00A94FE8">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10: Youth Allowance (other) by Duration on Income Support</w:t>
            </w:r>
          </w:p>
        </w:tc>
      </w:tr>
      <w:tr w:rsidR="00A94FE8" w:rsidRPr="00A94FE8" w:rsidTr="00A94FE8">
        <w:trPr>
          <w:trHeight w:val="337"/>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rPr>
                <w:rFonts w:ascii="Calibri" w:eastAsia="Times New Roman" w:hAnsi="Calibri" w:cs="Times New Roman"/>
                <w:b/>
                <w:bCs/>
                <w:lang w:eastAsia="en-AU"/>
              </w:rPr>
            </w:pPr>
            <w:r w:rsidRPr="002459E4">
              <w:rPr>
                <w:rFonts w:ascii="Calibri" w:eastAsia="Times New Roman" w:hAnsi="Calibri" w:cs="Times New Roman"/>
                <w:b/>
                <w:bCs/>
                <w:lang w:eastAsia="en-AU"/>
              </w:rPr>
              <w:t>Duration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94FE8" w:rsidRPr="00A94FE8" w:rsidRDefault="00A94FE8" w:rsidP="00A94FE8">
            <w:pPr>
              <w:spacing w:after="0" w:line="240" w:lineRule="auto"/>
              <w:jc w:val="right"/>
              <w:rPr>
                <w:rFonts w:ascii="Calibri" w:eastAsia="Times New Roman" w:hAnsi="Calibri" w:cs="Times New Roman"/>
                <w:b/>
                <w:bCs/>
                <w:color w:val="000000"/>
                <w:lang w:eastAsia="en-AU"/>
              </w:rPr>
            </w:pPr>
            <w:r w:rsidRPr="00A94FE8">
              <w:rPr>
                <w:rFonts w:ascii="Calibri" w:eastAsia="Times New Roman" w:hAnsi="Calibri" w:cs="Times New Roman"/>
                <w:b/>
                <w:bCs/>
                <w:color w:val="000000"/>
                <w:lang w:eastAsia="en-AU"/>
              </w:rPr>
              <w:t>Jun-15</w:t>
            </w:r>
          </w:p>
        </w:tc>
      </w:tr>
      <w:tr w:rsidR="00A94FE8" w:rsidRPr="00A94FE8" w:rsidTr="00A94FE8">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Less than 1 year</w:t>
            </w:r>
          </w:p>
        </w:tc>
        <w:tc>
          <w:tcPr>
            <w:tcW w:w="1276"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37,365</w:t>
            </w:r>
          </w:p>
        </w:tc>
        <w:tc>
          <w:tcPr>
            <w:tcW w:w="1276"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33,827</w:t>
            </w:r>
          </w:p>
        </w:tc>
        <w:tc>
          <w:tcPr>
            <w:tcW w:w="1276"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47,385</w:t>
            </w:r>
          </w:p>
        </w:tc>
        <w:tc>
          <w:tcPr>
            <w:tcW w:w="1275"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48,959</w:t>
            </w:r>
          </w:p>
        </w:tc>
        <w:tc>
          <w:tcPr>
            <w:tcW w:w="1134"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46,906</w:t>
            </w:r>
          </w:p>
        </w:tc>
      </w:tr>
      <w:tr w:rsidR="00A94FE8" w:rsidRPr="00A94FE8" w:rsidTr="00A94FE8">
        <w:trPr>
          <w:trHeight w:val="31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1 year plus</w:t>
            </w:r>
          </w:p>
        </w:tc>
        <w:tc>
          <w:tcPr>
            <w:tcW w:w="1276"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48,607</w:t>
            </w:r>
          </w:p>
        </w:tc>
        <w:tc>
          <w:tcPr>
            <w:tcW w:w="1276"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49,975</w:t>
            </w:r>
          </w:p>
        </w:tc>
        <w:tc>
          <w:tcPr>
            <w:tcW w:w="1276"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66,455</w:t>
            </w:r>
          </w:p>
        </w:tc>
        <w:tc>
          <w:tcPr>
            <w:tcW w:w="1275"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65,039</w:t>
            </w:r>
          </w:p>
        </w:tc>
        <w:tc>
          <w:tcPr>
            <w:tcW w:w="1134" w:type="dxa"/>
            <w:tcBorders>
              <w:top w:val="nil"/>
              <w:left w:val="nil"/>
              <w:bottom w:val="single" w:sz="4" w:space="0" w:color="auto"/>
              <w:right w:val="single" w:sz="4" w:space="0" w:color="auto"/>
            </w:tcBorders>
            <w:shd w:val="clear" w:color="auto" w:fill="auto"/>
            <w:noWrap/>
            <w:vAlign w:val="bottom"/>
            <w:hideMark/>
          </w:tcPr>
          <w:p w:rsidR="00A94FE8" w:rsidRPr="00A94FE8" w:rsidRDefault="00A94FE8" w:rsidP="00A94FE8">
            <w:pPr>
              <w:spacing w:after="0" w:line="240" w:lineRule="auto"/>
              <w:jc w:val="right"/>
              <w:rPr>
                <w:rFonts w:ascii="Calibri" w:eastAsia="Times New Roman" w:hAnsi="Calibri" w:cs="Times New Roman"/>
                <w:color w:val="000000"/>
                <w:lang w:eastAsia="en-AU"/>
              </w:rPr>
            </w:pPr>
            <w:r w:rsidRPr="00A94FE8">
              <w:rPr>
                <w:rFonts w:ascii="Calibri" w:eastAsia="Times New Roman" w:hAnsi="Calibri" w:cs="Times New Roman"/>
                <w:color w:val="000000"/>
                <w:lang w:eastAsia="en-AU"/>
              </w:rPr>
              <w:t>65,714</w:t>
            </w:r>
          </w:p>
        </w:tc>
      </w:tr>
    </w:tbl>
    <w:p w:rsidR="00483D2C" w:rsidRDefault="00C07B4A" w:rsidP="00483D2C">
      <w:pPr>
        <w:pStyle w:val="Heading2"/>
      </w:pPr>
      <w:r>
        <w:br/>
      </w:r>
      <w:bookmarkStart w:id="11" w:name="_Toc432599281"/>
      <w:r>
        <w:t xml:space="preserve">Youth Allowance (other) </w:t>
      </w:r>
      <w:r w:rsidR="00483D2C">
        <w:t>by Remoteness Area</w:t>
      </w:r>
      <w:bookmarkEnd w:id="11"/>
    </w:p>
    <w:p w:rsidR="00483D2C" w:rsidRDefault="00C07B4A" w:rsidP="00483D2C">
      <w:r w:rsidRPr="00C07B4A">
        <w:t xml:space="preserve">The majority of </w:t>
      </w:r>
      <w:proofErr w:type="gramStart"/>
      <w:r w:rsidRPr="00C07B4A">
        <w:t>YA(</w:t>
      </w:r>
      <w:proofErr w:type="gramEnd"/>
      <w:r w:rsidRPr="00C07B4A">
        <w:t>o) recipients reside in major cities (56.8%). A further 38.4% live in regional areas (outer and inner), while the remaining recipients are in remote or very remote locations.</w:t>
      </w:r>
    </w:p>
    <w:tbl>
      <w:tblPr>
        <w:tblW w:w="5920" w:type="dxa"/>
        <w:tblInd w:w="93" w:type="dxa"/>
        <w:tblLook w:val="04A0" w:firstRow="1" w:lastRow="0" w:firstColumn="1" w:lastColumn="0" w:noHBand="0" w:noVBand="1"/>
      </w:tblPr>
      <w:tblGrid>
        <w:gridCol w:w="3417"/>
        <w:gridCol w:w="1163"/>
        <w:gridCol w:w="1340"/>
      </w:tblGrid>
      <w:tr w:rsidR="00C07B4A" w:rsidRPr="00C07B4A" w:rsidTr="00E625E8">
        <w:trPr>
          <w:trHeight w:val="300"/>
        </w:trPr>
        <w:tc>
          <w:tcPr>
            <w:tcW w:w="5920"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rsidR="00C07B4A" w:rsidRDefault="00C07B4A" w:rsidP="00C07B4A">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11: Youth Allowance (other) by Remoteness Area</w:t>
            </w:r>
          </w:p>
        </w:tc>
      </w:tr>
      <w:tr w:rsidR="00C07B4A" w:rsidRPr="00C07B4A" w:rsidTr="00C07B4A">
        <w:trPr>
          <w:trHeight w:val="300"/>
        </w:trPr>
        <w:tc>
          <w:tcPr>
            <w:tcW w:w="34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B4A" w:rsidRPr="00C07B4A" w:rsidRDefault="00C07B4A" w:rsidP="00C07B4A">
            <w:pPr>
              <w:spacing w:after="0" w:line="240" w:lineRule="auto"/>
              <w:rPr>
                <w:rFonts w:ascii="Calibri" w:eastAsia="Times New Roman" w:hAnsi="Calibri" w:cs="Times New Roman"/>
                <w:b/>
                <w:bCs/>
                <w:lang w:eastAsia="en-AU"/>
              </w:rPr>
            </w:pPr>
            <w:r w:rsidRPr="00483D2C">
              <w:rPr>
                <w:rFonts w:ascii="Calibri" w:eastAsia="Times New Roman" w:hAnsi="Calibri" w:cs="Times New Roman"/>
                <w:b/>
                <w:bCs/>
                <w:lang w:eastAsia="en-AU"/>
              </w:rPr>
              <w:t>R</w:t>
            </w:r>
            <w:r>
              <w:rPr>
                <w:rFonts w:ascii="Calibri" w:eastAsia="Times New Roman" w:hAnsi="Calibri" w:cs="Times New Roman"/>
                <w:b/>
                <w:bCs/>
                <w:lang w:eastAsia="en-AU"/>
              </w:rPr>
              <w:t xml:space="preserve">emoteness </w:t>
            </w:r>
            <w:r w:rsidRPr="00483D2C">
              <w:rPr>
                <w:rFonts w:ascii="Calibri" w:eastAsia="Times New Roman" w:hAnsi="Calibri" w:cs="Times New Roman"/>
                <w:b/>
                <w:bCs/>
                <w:lang w:eastAsia="en-AU"/>
              </w:rPr>
              <w:t>A</w:t>
            </w:r>
            <w:r>
              <w:rPr>
                <w:rFonts w:ascii="Calibri" w:eastAsia="Times New Roman" w:hAnsi="Calibri" w:cs="Times New Roman"/>
                <w:b/>
                <w:bCs/>
                <w:lang w:eastAsia="en-AU"/>
              </w:rPr>
              <w:t>rea</w:t>
            </w:r>
          </w:p>
        </w:tc>
        <w:tc>
          <w:tcPr>
            <w:tcW w:w="1163" w:type="dxa"/>
            <w:tcBorders>
              <w:top w:val="single" w:sz="8" w:space="0" w:color="auto"/>
              <w:left w:val="nil"/>
              <w:bottom w:val="single" w:sz="4" w:space="0" w:color="auto"/>
              <w:right w:val="nil"/>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b/>
                <w:bCs/>
                <w:color w:val="000000"/>
                <w:lang w:eastAsia="en-AU"/>
              </w:rPr>
            </w:pPr>
            <w:r w:rsidRPr="00C07B4A">
              <w:rPr>
                <w:rFonts w:ascii="Calibri" w:eastAsia="Times New Roman" w:hAnsi="Calibri" w:cs="Times New Roman"/>
                <w:b/>
                <w:bCs/>
                <w:color w:val="000000"/>
                <w:lang w:eastAsia="en-AU"/>
              </w:rPr>
              <w:t>Jun-15</w:t>
            </w:r>
          </w:p>
        </w:tc>
        <w:tc>
          <w:tcPr>
            <w:tcW w:w="134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07B4A" w:rsidRPr="00C07B4A" w:rsidRDefault="00C07B4A" w:rsidP="00C07B4A">
            <w:pPr>
              <w:spacing w:after="0" w:line="240" w:lineRule="auto"/>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Percentage</w:t>
            </w:r>
          </w:p>
        </w:tc>
      </w:tr>
      <w:tr w:rsidR="00C07B4A" w:rsidRPr="00C07B4A" w:rsidTr="00C07B4A">
        <w:trPr>
          <w:trHeight w:val="300"/>
        </w:trPr>
        <w:tc>
          <w:tcPr>
            <w:tcW w:w="3417" w:type="dxa"/>
            <w:tcBorders>
              <w:top w:val="nil"/>
              <w:left w:val="single" w:sz="8" w:space="0" w:color="auto"/>
              <w:bottom w:val="single" w:sz="4" w:space="0" w:color="auto"/>
              <w:right w:val="single" w:sz="4" w:space="0" w:color="auto"/>
            </w:tcBorders>
            <w:shd w:val="clear" w:color="auto" w:fill="auto"/>
            <w:noWrap/>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Inner Regional Australia</w:t>
            </w:r>
          </w:p>
        </w:tc>
        <w:tc>
          <w:tcPr>
            <w:tcW w:w="1163" w:type="dxa"/>
            <w:tcBorders>
              <w:top w:val="nil"/>
              <w:left w:val="nil"/>
              <w:bottom w:val="single" w:sz="4" w:space="0" w:color="auto"/>
              <w:right w:val="nil"/>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28,864</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25.6%</w:t>
            </w:r>
          </w:p>
        </w:tc>
      </w:tr>
      <w:tr w:rsidR="00C07B4A" w:rsidRPr="00C07B4A" w:rsidTr="00C07B4A">
        <w:trPr>
          <w:trHeight w:val="300"/>
        </w:trPr>
        <w:tc>
          <w:tcPr>
            <w:tcW w:w="3417" w:type="dxa"/>
            <w:tcBorders>
              <w:top w:val="nil"/>
              <w:left w:val="single" w:sz="8" w:space="0" w:color="auto"/>
              <w:bottom w:val="single" w:sz="4" w:space="0" w:color="auto"/>
              <w:right w:val="single" w:sz="4" w:space="0" w:color="auto"/>
            </w:tcBorders>
            <w:shd w:val="clear" w:color="auto" w:fill="auto"/>
            <w:noWrap/>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Major Cities of Australia</w:t>
            </w:r>
          </w:p>
        </w:tc>
        <w:tc>
          <w:tcPr>
            <w:tcW w:w="1163" w:type="dxa"/>
            <w:tcBorders>
              <w:top w:val="nil"/>
              <w:left w:val="nil"/>
              <w:bottom w:val="single" w:sz="4" w:space="0" w:color="auto"/>
              <w:right w:val="nil"/>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64,005</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56.8%</w:t>
            </w:r>
          </w:p>
        </w:tc>
      </w:tr>
      <w:tr w:rsidR="00C07B4A" w:rsidRPr="00C07B4A" w:rsidTr="00C07B4A">
        <w:trPr>
          <w:trHeight w:val="300"/>
        </w:trPr>
        <w:tc>
          <w:tcPr>
            <w:tcW w:w="3417" w:type="dxa"/>
            <w:tcBorders>
              <w:top w:val="nil"/>
              <w:left w:val="single" w:sz="8" w:space="0" w:color="auto"/>
              <w:bottom w:val="single" w:sz="4" w:space="0" w:color="auto"/>
              <w:right w:val="single" w:sz="4" w:space="0" w:color="auto"/>
            </w:tcBorders>
            <w:shd w:val="clear" w:color="auto" w:fill="auto"/>
            <w:noWrap/>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Outer Regional Australia</w:t>
            </w:r>
          </w:p>
        </w:tc>
        <w:tc>
          <w:tcPr>
            <w:tcW w:w="1163" w:type="dxa"/>
            <w:tcBorders>
              <w:top w:val="nil"/>
              <w:left w:val="nil"/>
              <w:bottom w:val="single" w:sz="4" w:space="0" w:color="auto"/>
              <w:right w:val="nil"/>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14,357</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12.7%</w:t>
            </w:r>
          </w:p>
        </w:tc>
      </w:tr>
      <w:tr w:rsidR="00C07B4A" w:rsidRPr="00C07B4A" w:rsidTr="00C07B4A">
        <w:trPr>
          <w:trHeight w:val="300"/>
        </w:trPr>
        <w:tc>
          <w:tcPr>
            <w:tcW w:w="3417" w:type="dxa"/>
            <w:tcBorders>
              <w:top w:val="nil"/>
              <w:left w:val="single" w:sz="8" w:space="0" w:color="auto"/>
              <w:bottom w:val="single" w:sz="4" w:space="0" w:color="auto"/>
              <w:right w:val="single" w:sz="4" w:space="0" w:color="auto"/>
            </w:tcBorders>
            <w:shd w:val="clear" w:color="auto" w:fill="auto"/>
            <w:noWrap/>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Remote Australia</w:t>
            </w:r>
          </w:p>
        </w:tc>
        <w:tc>
          <w:tcPr>
            <w:tcW w:w="1163" w:type="dxa"/>
            <w:tcBorders>
              <w:top w:val="nil"/>
              <w:left w:val="nil"/>
              <w:bottom w:val="single" w:sz="4" w:space="0" w:color="auto"/>
              <w:right w:val="nil"/>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2,129</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1.9%</w:t>
            </w:r>
          </w:p>
        </w:tc>
      </w:tr>
      <w:tr w:rsidR="00C07B4A" w:rsidRPr="00C07B4A" w:rsidTr="00C07B4A">
        <w:trPr>
          <w:trHeight w:val="300"/>
        </w:trPr>
        <w:tc>
          <w:tcPr>
            <w:tcW w:w="3417" w:type="dxa"/>
            <w:tcBorders>
              <w:top w:val="nil"/>
              <w:left w:val="single" w:sz="8" w:space="0" w:color="auto"/>
              <w:bottom w:val="single" w:sz="4" w:space="0" w:color="auto"/>
              <w:right w:val="single" w:sz="4" w:space="0" w:color="auto"/>
            </w:tcBorders>
            <w:shd w:val="clear" w:color="auto" w:fill="auto"/>
            <w:noWrap/>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Very Remote Australia</w:t>
            </w:r>
          </w:p>
        </w:tc>
        <w:tc>
          <w:tcPr>
            <w:tcW w:w="1163" w:type="dxa"/>
            <w:tcBorders>
              <w:top w:val="nil"/>
              <w:left w:val="nil"/>
              <w:bottom w:val="single" w:sz="4" w:space="0" w:color="auto"/>
              <w:right w:val="nil"/>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2,898</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2.6%</w:t>
            </w:r>
          </w:p>
        </w:tc>
      </w:tr>
      <w:tr w:rsidR="00C07B4A" w:rsidRPr="00C07B4A" w:rsidTr="00C07B4A">
        <w:trPr>
          <w:trHeight w:val="315"/>
        </w:trPr>
        <w:tc>
          <w:tcPr>
            <w:tcW w:w="3417" w:type="dxa"/>
            <w:tcBorders>
              <w:top w:val="nil"/>
              <w:left w:val="single" w:sz="8" w:space="0" w:color="auto"/>
              <w:bottom w:val="single" w:sz="8" w:space="0" w:color="auto"/>
              <w:right w:val="single" w:sz="4" w:space="0" w:color="auto"/>
            </w:tcBorders>
            <w:shd w:val="clear" w:color="auto" w:fill="auto"/>
            <w:noWrap/>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Not Assigned to a Remoteness Area</w:t>
            </w:r>
          </w:p>
        </w:tc>
        <w:tc>
          <w:tcPr>
            <w:tcW w:w="1163" w:type="dxa"/>
            <w:tcBorders>
              <w:top w:val="nil"/>
              <w:left w:val="nil"/>
              <w:bottom w:val="single" w:sz="8" w:space="0" w:color="auto"/>
              <w:right w:val="nil"/>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367</w:t>
            </w:r>
          </w:p>
        </w:tc>
        <w:tc>
          <w:tcPr>
            <w:tcW w:w="1340" w:type="dxa"/>
            <w:tcBorders>
              <w:top w:val="nil"/>
              <w:left w:val="single" w:sz="4" w:space="0" w:color="auto"/>
              <w:bottom w:val="single" w:sz="8" w:space="0" w:color="auto"/>
              <w:right w:val="single" w:sz="8"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0.3%</w:t>
            </w:r>
          </w:p>
        </w:tc>
      </w:tr>
    </w:tbl>
    <w:p w:rsidR="00C07B4A" w:rsidRDefault="00C07B4A" w:rsidP="00483D2C"/>
    <w:p w:rsidR="00483D2C" w:rsidRDefault="00C07B4A" w:rsidP="00483D2C">
      <w:pPr>
        <w:pStyle w:val="Heading2"/>
      </w:pPr>
      <w:bookmarkStart w:id="12" w:name="_Toc432599282"/>
      <w:r>
        <w:t xml:space="preserve">Youth Allowance (other) </w:t>
      </w:r>
      <w:r w:rsidR="00483D2C">
        <w:t>by State</w:t>
      </w:r>
      <w:bookmarkEnd w:id="12"/>
    </w:p>
    <w:p w:rsidR="00483D2C" w:rsidRDefault="00C07B4A" w:rsidP="00483D2C">
      <w:r w:rsidRPr="00C07B4A">
        <w:t xml:space="preserve">The highest </w:t>
      </w:r>
      <w:proofErr w:type="gramStart"/>
      <w:r w:rsidRPr="00C07B4A">
        <w:t>proportion of recipients were</w:t>
      </w:r>
      <w:proofErr w:type="gramEnd"/>
      <w:r w:rsidRPr="00C07B4A">
        <w:t xml:space="preserve"> located in New South Wales at 28.5%, followed by 27.2% in Queensland and 20.7% in Victoria.</w:t>
      </w:r>
    </w:p>
    <w:tbl>
      <w:tblPr>
        <w:tblW w:w="4480" w:type="dxa"/>
        <w:tblInd w:w="93" w:type="dxa"/>
        <w:tblLook w:val="04A0" w:firstRow="1" w:lastRow="0" w:firstColumn="1" w:lastColumn="0" w:noHBand="0" w:noVBand="1"/>
      </w:tblPr>
      <w:tblGrid>
        <w:gridCol w:w="3240"/>
        <w:gridCol w:w="1240"/>
      </w:tblGrid>
      <w:tr w:rsidR="00C07B4A" w:rsidRPr="00C07B4A" w:rsidTr="00C07B4A">
        <w:trPr>
          <w:trHeight w:val="444"/>
        </w:trPr>
        <w:tc>
          <w:tcPr>
            <w:tcW w:w="4480"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C07B4A" w:rsidRPr="00C07B4A" w:rsidRDefault="00C07B4A" w:rsidP="00C07B4A">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12: Youth Allowance (other) by State</w:t>
            </w:r>
          </w:p>
        </w:tc>
      </w:tr>
      <w:tr w:rsidR="00C07B4A" w:rsidRPr="00C07B4A" w:rsidTr="00C07B4A">
        <w:trPr>
          <w:trHeight w:val="444"/>
        </w:trPr>
        <w:tc>
          <w:tcPr>
            <w:tcW w:w="3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07B4A" w:rsidRPr="00C07B4A" w:rsidRDefault="00C07B4A" w:rsidP="00C07B4A">
            <w:pPr>
              <w:spacing w:after="0" w:line="240" w:lineRule="auto"/>
              <w:rPr>
                <w:rFonts w:ascii="Calibri" w:eastAsia="Times New Roman" w:hAnsi="Calibri" w:cs="Times New Roman"/>
                <w:b/>
                <w:bCs/>
                <w:lang w:eastAsia="en-AU"/>
              </w:rPr>
            </w:pPr>
            <w:r w:rsidRPr="004534F8">
              <w:rPr>
                <w:rFonts w:ascii="Calibri" w:eastAsia="Times New Roman" w:hAnsi="Calibri" w:cs="Times New Roman"/>
                <w:b/>
                <w:bCs/>
                <w:lang w:eastAsia="en-AU"/>
              </w:rPr>
              <w:t>State</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rsidR="00C07B4A" w:rsidRPr="00C07B4A" w:rsidRDefault="00C07B4A" w:rsidP="00C07B4A">
            <w:pPr>
              <w:spacing w:after="0" w:line="240" w:lineRule="auto"/>
              <w:jc w:val="right"/>
              <w:rPr>
                <w:rFonts w:ascii="Calibri" w:eastAsia="Times New Roman" w:hAnsi="Calibri" w:cs="Times New Roman"/>
                <w:b/>
                <w:bCs/>
                <w:color w:val="000000"/>
                <w:lang w:eastAsia="en-AU"/>
              </w:rPr>
            </w:pPr>
            <w:r w:rsidRPr="00C07B4A">
              <w:rPr>
                <w:rFonts w:ascii="Calibri" w:eastAsia="Times New Roman" w:hAnsi="Calibri" w:cs="Times New Roman"/>
                <w:b/>
                <w:bCs/>
                <w:color w:val="000000"/>
                <w:lang w:eastAsia="en-AU"/>
              </w:rPr>
              <w:t>Jun-15</w:t>
            </w:r>
          </w:p>
        </w:tc>
      </w:tr>
      <w:tr w:rsidR="00C07B4A" w:rsidRPr="00C07B4A" w:rsidTr="00C07B4A">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N</w:t>
            </w:r>
            <w:r>
              <w:rPr>
                <w:rFonts w:ascii="Calibri" w:eastAsia="Times New Roman" w:hAnsi="Calibri" w:cs="Times New Roman"/>
                <w:color w:val="000000"/>
                <w:lang w:eastAsia="en-AU"/>
              </w:rPr>
              <w:t xml:space="preserve">ew </w:t>
            </w:r>
            <w:r w:rsidRPr="004534F8">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outh </w:t>
            </w:r>
            <w:r w:rsidRPr="004534F8">
              <w:rPr>
                <w:rFonts w:ascii="Calibri" w:eastAsia="Times New Roman" w:hAnsi="Calibri" w:cs="Times New Roman"/>
                <w:color w:val="000000"/>
                <w:lang w:eastAsia="en-AU"/>
              </w:rPr>
              <w:t>W</w:t>
            </w:r>
            <w:r>
              <w:rPr>
                <w:rFonts w:ascii="Calibri" w:eastAsia="Times New Roman" w:hAnsi="Calibri" w:cs="Times New Roman"/>
                <w:color w:val="000000"/>
                <w:lang w:eastAsia="en-AU"/>
              </w:rPr>
              <w:t>ales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32,077</w:t>
            </w:r>
          </w:p>
        </w:tc>
      </w:tr>
      <w:tr w:rsidR="00C07B4A" w:rsidRPr="00C07B4A" w:rsidTr="00C07B4A">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Q</w:t>
            </w:r>
            <w:r>
              <w:rPr>
                <w:rFonts w:ascii="Calibri" w:eastAsia="Times New Roman" w:hAnsi="Calibri" w:cs="Times New Roman"/>
                <w:color w:val="000000"/>
                <w:lang w:eastAsia="en-AU"/>
              </w:rPr>
              <w:t>ueensland</w:t>
            </w:r>
          </w:p>
        </w:tc>
        <w:tc>
          <w:tcPr>
            <w:tcW w:w="1240" w:type="dxa"/>
            <w:tcBorders>
              <w:top w:val="nil"/>
              <w:left w:val="nil"/>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30,614</w:t>
            </w:r>
          </w:p>
        </w:tc>
      </w:tr>
      <w:tr w:rsidR="00C07B4A" w:rsidRPr="00C07B4A" w:rsidTr="00C07B4A">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V</w:t>
            </w:r>
            <w:r>
              <w:rPr>
                <w:rFonts w:ascii="Calibri" w:eastAsia="Times New Roman" w:hAnsi="Calibri" w:cs="Times New Roman"/>
                <w:color w:val="000000"/>
                <w:lang w:eastAsia="en-AU"/>
              </w:rPr>
              <w:t>ictoria</w:t>
            </w:r>
          </w:p>
        </w:tc>
        <w:tc>
          <w:tcPr>
            <w:tcW w:w="1240" w:type="dxa"/>
            <w:tcBorders>
              <w:top w:val="nil"/>
              <w:left w:val="nil"/>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23,311</w:t>
            </w:r>
          </w:p>
        </w:tc>
      </w:tr>
      <w:tr w:rsidR="00C07B4A" w:rsidRPr="00C07B4A" w:rsidTr="00C07B4A">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W</w:t>
            </w:r>
            <w:r>
              <w:rPr>
                <w:rFonts w:ascii="Calibri" w:eastAsia="Times New Roman" w:hAnsi="Calibri" w:cs="Times New Roman"/>
                <w:color w:val="000000"/>
                <w:lang w:eastAsia="en-AU"/>
              </w:rPr>
              <w:t xml:space="preserve">estern </w:t>
            </w: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ustralia</w:t>
            </w:r>
          </w:p>
        </w:tc>
        <w:tc>
          <w:tcPr>
            <w:tcW w:w="1240" w:type="dxa"/>
            <w:tcBorders>
              <w:top w:val="nil"/>
              <w:left w:val="nil"/>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9,701</w:t>
            </w:r>
          </w:p>
        </w:tc>
      </w:tr>
      <w:tr w:rsidR="00C07B4A" w:rsidRPr="00C07B4A" w:rsidTr="00C07B4A">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outh </w:t>
            </w: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ustralia</w:t>
            </w:r>
          </w:p>
        </w:tc>
        <w:tc>
          <w:tcPr>
            <w:tcW w:w="1240" w:type="dxa"/>
            <w:tcBorders>
              <w:top w:val="nil"/>
              <w:left w:val="nil"/>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9,541</w:t>
            </w:r>
          </w:p>
        </w:tc>
      </w:tr>
      <w:tr w:rsidR="00C07B4A" w:rsidRPr="00C07B4A" w:rsidTr="00C07B4A">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asmania</w:t>
            </w:r>
          </w:p>
        </w:tc>
        <w:tc>
          <w:tcPr>
            <w:tcW w:w="1240" w:type="dxa"/>
            <w:tcBorders>
              <w:top w:val="nil"/>
              <w:left w:val="nil"/>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3,911</w:t>
            </w:r>
          </w:p>
        </w:tc>
      </w:tr>
      <w:tr w:rsidR="00C07B4A" w:rsidRPr="00C07B4A" w:rsidTr="00C07B4A">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N</w:t>
            </w:r>
            <w:r>
              <w:rPr>
                <w:rFonts w:ascii="Calibri" w:eastAsia="Times New Roman" w:hAnsi="Calibri" w:cs="Times New Roman"/>
                <w:color w:val="000000"/>
                <w:lang w:eastAsia="en-AU"/>
              </w:rPr>
              <w:t xml:space="preserve">orthern </w:t>
            </w: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erritory</w:t>
            </w:r>
          </w:p>
        </w:tc>
        <w:tc>
          <w:tcPr>
            <w:tcW w:w="1240" w:type="dxa"/>
            <w:tcBorders>
              <w:top w:val="nil"/>
              <w:left w:val="nil"/>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2,363</w:t>
            </w:r>
          </w:p>
        </w:tc>
      </w:tr>
      <w:tr w:rsidR="00C07B4A" w:rsidRPr="00C07B4A" w:rsidTr="00C07B4A">
        <w:trPr>
          <w:trHeight w:val="300"/>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 xml:space="preserve">ustralian </w:t>
            </w:r>
            <w:r w:rsidRPr="004534F8">
              <w:rPr>
                <w:rFonts w:ascii="Calibri" w:eastAsia="Times New Roman" w:hAnsi="Calibri" w:cs="Times New Roman"/>
                <w:color w:val="000000"/>
                <w:lang w:eastAsia="en-AU"/>
              </w:rPr>
              <w:t>C</w:t>
            </w:r>
            <w:r>
              <w:rPr>
                <w:rFonts w:ascii="Calibri" w:eastAsia="Times New Roman" w:hAnsi="Calibri" w:cs="Times New Roman"/>
                <w:color w:val="000000"/>
                <w:lang w:eastAsia="en-AU"/>
              </w:rPr>
              <w:t xml:space="preserve">apital </w:t>
            </w: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erritory</w:t>
            </w:r>
          </w:p>
        </w:tc>
        <w:tc>
          <w:tcPr>
            <w:tcW w:w="1240" w:type="dxa"/>
            <w:tcBorders>
              <w:top w:val="nil"/>
              <w:left w:val="nil"/>
              <w:bottom w:val="single" w:sz="4"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1,084</w:t>
            </w:r>
          </w:p>
        </w:tc>
      </w:tr>
      <w:tr w:rsidR="00C07B4A" w:rsidRPr="00C07B4A" w:rsidTr="00C07B4A">
        <w:trPr>
          <w:trHeight w:val="315"/>
        </w:trPr>
        <w:tc>
          <w:tcPr>
            <w:tcW w:w="3240" w:type="dxa"/>
            <w:tcBorders>
              <w:top w:val="nil"/>
              <w:left w:val="single" w:sz="8" w:space="0" w:color="auto"/>
              <w:bottom w:val="single" w:sz="8" w:space="0" w:color="auto"/>
              <w:right w:val="single" w:sz="4" w:space="0" w:color="auto"/>
            </w:tcBorders>
            <w:shd w:val="clear" w:color="auto" w:fill="auto"/>
            <w:noWrap/>
            <w:vAlign w:val="bottom"/>
            <w:hideMark/>
          </w:tcPr>
          <w:p w:rsidR="00C07B4A" w:rsidRPr="00C07B4A" w:rsidRDefault="00C07B4A" w:rsidP="00C07B4A">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Unknown</w:t>
            </w:r>
          </w:p>
        </w:tc>
        <w:tc>
          <w:tcPr>
            <w:tcW w:w="1240" w:type="dxa"/>
            <w:tcBorders>
              <w:top w:val="single" w:sz="4" w:space="0" w:color="auto"/>
              <w:left w:val="nil"/>
              <w:bottom w:val="single" w:sz="8" w:space="0" w:color="auto"/>
              <w:right w:val="single" w:sz="4" w:space="0" w:color="auto"/>
            </w:tcBorders>
            <w:shd w:val="clear" w:color="auto" w:fill="auto"/>
            <w:noWrap/>
            <w:vAlign w:val="bottom"/>
            <w:hideMark/>
          </w:tcPr>
          <w:p w:rsidR="00C07B4A" w:rsidRPr="00C07B4A" w:rsidRDefault="00C07B4A" w:rsidP="00C07B4A">
            <w:pPr>
              <w:spacing w:after="0" w:line="240" w:lineRule="auto"/>
              <w:jc w:val="right"/>
              <w:rPr>
                <w:rFonts w:ascii="Calibri" w:eastAsia="Times New Roman" w:hAnsi="Calibri" w:cs="Times New Roman"/>
                <w:color w:val="000000"/>
                <w:lang w:eastAsia="en-AU"/>
              </w:rPr>
            </w:pPr>
            <w:r w:rsidRPr="00C07B4A">
              <w:rPr>
                <w:rFonts w:ascii="Calibri" w:eastAsia="Times New Roman" w:hAnsi="Calibri" w:cs="Times New Roman"/>
                <w:color w:val="000000"/>
                <w:lang w:eastAsia="en-AU"/>
              </w:rPr>
              <w:t>18</w:t>
            </w:r>
          </w:p>
        </w:tc>
      </w:tr>
    </w:tbl>
    <w:p w:rsidR="00C07B4A" w:rsidRDefault="00C07B4A" w:rsidP="00483D2C"/>
    <w:p w:rsidR="00D658E0" w:rsidRDefault="00D658E0">
      <w:r>
        <w:br w:type="page"/>
      </w:r>
    </w:p>
    <w:p w:rsidR="00483D2C" w:rsidRDefault="00E625E8" w:rsidP="00483D2C">
      <w:pPr>
        <w:pStyle w:val="Heading2"/>
      </w:pPr>
      <w:bookmarkStart w:id="13" w:name="_Toc432599283"/>
      <w:r>
        <w:lastRenderedPageBreak/>
        <w:t xml:space="preserve">Youth Allowance (other) </w:t>
      </w:r>
      <w:r w:rsidR="00483D2C">
        <w:t>by Activity</w:t>
      </w:r>
      <w:bookmarkEnd w:id="13"/>
    </w:p>
    <w:p w:rsidR="00483D2C" w:rsidRDefault="00E625E8" w:rsidP="00483D2C">
      <w:r w:rsidRPr="00E625E8">
        <w:t xml:space="preserve">The number of </w:t>
      </w:r>
      <w:proofErr w:type="gramStart"/>
      <w:r w:rsidRPr="00E625E8">
        <w:t>YA(</w:t>
      </w:r>
      <w:proofErr w:type="gramEnd"/>
      <w:r w:rsidRPr="00E625E8">
        <w:t xml:space="preserve">o) jobseekers has increased 60.6% since June 2012, with 50.6% of recipients having job search as their main activity.  A further 39% were undertaking other approved activities to improve their employment prospects (may include education/training, language, literacy and numeracy skills) and 7.5% had a temporary incapacity or other exemption (due to circumstances such as homelessness, late stage pregnancy, major personal crisis, </w:t>
      </w:r>
      <w:proofErr w:type="gramStart"/>
      <w:r w:rsidRPr="00E625E8">
        <w:t>temporary</w:t>
      </w:r>
      <w:proofErr w:type="gramEnd"/>
      <w:r w:rsidRPr="00E625E8">
        <w:t xml:space="preserve"> caring resp</w:t>
      </w:r>
      <w:r>
        <w:t>onsibilities). 2.8% did not rec</w:t>
      </w:r>
      <w:r w:rsidRPr="00E625E8">
        <w:t>e</w:t>
      </w:r>
      <w:r>
        <w:t>i</w:t>
      </w:r>
      <w:r w:rsidRPr="00E625E8">
        <w:t>ve a payment.</w:t>
      </w:r>
    </w:p>
    <w:tbl>
      <w:tblPr>
        <w:tblW w:w="8237" w:type="dxa"/>
        <w:tblInd w:w="93" w:type="dxa"/>
        <w:tblLook w:val="04A0" w:firstRow="1" w:lastRow="0" w:firstColumn="1" w:lastColumn="0" w:noHBand="0" w:noVBand="1"/>
      </w:tblPr>
      <w:tblGrid>
        <w:gridCol w:w="2992"/>
        <w:gridCol w:w="992"/>
        <w:gridCol w:w="993"/>
        <w:gridCol w:w="1134"/>
        <w:gridCol w:w="1134"/>
        <w:gridCol w:w="992"/>
      </w:tblGrid>
      <w:tr w:rsidR="00E625E8" w:rsidRPr="00E625E8" w:rsidTr="00E625E8">
        <w:trPr>
          <w:trHeight w:val="411"/>
        </w:trPr>
        <w:tc>
          <w:tcPr>
            <w:tcW w:w="823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E625E8" w:rsidRPr="00E625E8" w:rsidRDefault="00E625E8" w:rsidP="00E625E8">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13: Youth Allowance (other) by Activity</w:t>
            </w:r>
          </w:p>
        </w:tc>
      </w:tr>
      <w:tr w:rsidR="00E625E8" w:rsidRPr="00E625E8" w:rsidTr="00E625E8">
        <w:trPr>
          <w:trHeight w:val="411"/>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b/>
                <w:bCs/>
                <w:color w:val="000000"/>
                <w:lang w:eastAsia="en-AU"/>
              </w:rPr>
            </w:pPr>
            <w:r w:rsidRPr="00E625E8">
              <w:rPr>
                <w:rFonts w:ascii="Calibri" w:eastAsia="Times New Roman" w:hAnsi="Calibri" w:cs="Times New Roman"/>
                <w:b/>
                <w:bCs/>
                <w:color w:val="000000"/>
                <w:lang w:eastAsia="en-AU"/>
              </w:rPr>
              <w:t>Activity Type</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b/>
                <w:bCs/>
                <w:color w:val="000000"/>
                <w:lang w:eastAsia="en-AU"/>
              </w:rPr>
            </w:pPr>
            <w:r w:rsidRPr="00E625E8">
              <w:rPr>
                <w:rFonts w:ascii="Calibri" w:eastAsia="Times New Roman" w:hAnsi="Calibri" w:cs="Times New Roman"/>
                <w:b/>
                <w:bCs/>
                <w:color w:val="000000"/>
                <w:lang w:eastAsia="en-AU"/>
              </w:rPr>
              <w:t>Jun-11</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b/>
                <w:bCs/>
                <w:color w:val="000000"/>
                <w:lang w:eastAsia="en-AU"/>
              </w:rPr>
            </w:pPr>
            <w:r w:rsidRPr="00E625E8">
              <w:rPr>
                <w:rFonts w:ascii="Calibri" w:eastAsia="Times New Roman" w:hAnsi="Calibri" w:cs="Times New Roman"/>
                <w:b/>
                <w:bCs/>
                <w:color w:val="000000"/>
                <w:lang w:eastAsia="en-AU"/>
              </w:rPr>
              <w:t>Jun-12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b/>
                <w:bCs/>
                <w:color w:val="000000"/>
                <w:lang w:eastAsia="en-AU"/>
              </w:rPr>
            </w:pPr>
            <w:r w:rsidRPr="00E625E8">
              <w:rPr>
                <w:rFonts w:ascii="Calibri" w:eastAsia="Times New Roman" w:hAnsi="Calibri" w:cs="Times New Roman"/>
                <w:b/>
                <w:bCs/>
                <w:color w:val="000000"/>
                <w:lang w:eastAsia="en-AU"/>
              </w:rPr>
              <w:t>Jun-13</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b/>
                <w:bCs/>
                <w:color w:val="000000"/>
                <w:lang w:eastAsia="en-AU"/>
              </w:rPr>
            </w:pPr>
            <w:r w:rsidRPr="00E625E8">
              <w:rPr>
                <w:rFonts w:ascii="Calibri" w:eastAsia="Times New Roman" w:hAnsi="Calibri" w:cs="Times New Roman"/>
                <w:b/>
                <w:bCs/>
                <w:color w:val="000000"/>
                <w:lang w:eastAsia="en-AU"/>
              </w:rPr>
              <w:t>Jun-14</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b/>
                <w:bCs/>
                <w:color w:val="000000"/>
                <w:lang w:eastAsia="en-AU"/>
              </w:rPr>
            </w:pPr>
            <w:r w:rsidRPr="00E625E8">
              <w:rPr>
                <w:rFonts w:ascii="Calibri" w:eastAsia="Times New Roman" w:hAnsi="Calibri" w:cs="Times New Roman"/>
                <w:b/>
                <w:bCs/>
                <w:color w:val="000000"/>
                <w:lang w:eastAsia="en-AU"/>
              </w:rPr>
              <w:t>Jun-15</w:t>
            </w:r>
          </w:p>
        </w:tc>
      </w:tr>
      <w:tr w:rsidR="00E625E8" w:rsidRPr="00E625E8" w:rsidTr="00E625E8">
        <w:trPr>
          <w:trHeight w:val="300"/>
        </w:trPr>
        <w:tc>
          <w:tcPr>
            <w:tcW w:w="2992" w:type="dxa"/>
            <w:tcBorders>
              <w:top w:val="nil"/>
              <w:left w:val="single" w:sz="8" w:space="0" w:color="auto"/>
              <w:bottom w:val="single" w:sz="4" w:space="0" w:color="auto"/>
              <w:right w:val="single" w:sz="4" w:space="0" w:color="auto"/>
            </w:tcBorders>
            <w:shd w:val="clear" w:color="auto" w:fill="auto"/>
            <w:noWrap/>
            <w:hideMark/>
          </w:tcPr>
          <w:p w:rsidR="00E625E8" w:rsidRPr="00E625E8" w:rsidRDefault="00E625E8" w:rsidP="00E625E8">
            <w:pPr>
              <w:spacing w:after="0" w:line="240" w:lineRule="auto"/>
              <w:rPr>
                <w:rFonts w:ascii="Calibri" w:eastAsia="Times New Roman" w:hAnsi="Calibri" w:cs="Times New Roman"/>
                <w:lang w:eastAsia="en-AU"/>
              </w:rPr>
            </w:pPr>
            <w:r w:rsidRPr="00E625E8">
              <w:rPr>
                <w:rFonts w:ascii="Calibri" w:eastAsia="Times New Roman" w:hAnsi="Calibri" w:cs="Times New Roman"/>
                <w:lang w:eastAsia="en-AU"/>
              </w:rPr>
              <w:t>Incapacity exemption</w:t>
            </w:r>
          </w:p>
        </w:tc>
        <w:tc>
          <w:tcPr>
            <w:tcW w:w="992" w:type="dxa"/>
            <w:tcBorders>
              <w:top w:val="nil"/>
              <w:left w:val="nil"/>
              <w:bottom w:val="single" w:sz="4" w:space="0" w:color="000000"/>
              <w:right w:val="single" w:sz="4" w:space="0" w:color="000000"/>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3,574</w:t>
            </w:r>
          </w:p>
        </w:tc>
        <w:tc>
          <w:tcPr>
            <w:tcW w:w="993"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lang w:eastAsia="en-AU"/>
              </w:rPr>
            </w:pPr>
            <w:r w:rsidRPr="00E625E8">
              <w:rPr>
                <w:rFonts w:ascii="Calibri" w:eastAsia="Times New Roman" w:hAnsi="Calibri" w:cs="Times New Roman"/>
                <w:lang w:eastAsia="en-AU"/>
              </w:rPr>
              <w:t>4,022</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4,992</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4,846</w:t>
            </w:r>
          </w:p>
        </w:tc>
        <w:tc>
          <w:tcPr>
            <w:tcW w:w="992"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4,275</w:t>
            </w:r>
          </w:p>
        </w:tc>
      </w:tr>
      <w:tr w:rsidR="00E625E8" w:rsidRPr="00E625E8" w:rsidTr="00E625E8">
        <w:trPr>
          <w:trHeight w:val="300"/>
        </w:trPr>
        <w:tc>
          <w:tcPr>
            <w:tcW w:w="2992" w:type="dxa"/>
            <w:tcBorders>
              <w:top w:val="nil"/>
              <w:left w:val="single" w:sz="8" w:space="0" w:color="auto"/>
              <w:bottom w:val="single" w:sz="4" w:space="0" w:color="auto"/>
              <w:right w:val="single" w:sz="4" w:space="0" w:color="auto"/>
            </w:tcBorders>
            <w:shd w:val="clear" w:color="auto" w:fill="auto"/>
            <w:noWrap/>
            <w:hideMark/>
          </w:tcPr>
          <w:p w:rsidR="00E625E8" w:rsidRPr="00E625E8" w:rsidRDefault="00E625E8" w:rsidP="00E625E8">
            <w:pPr>
              <w:spacing w:after="0" w:line="240" w:lineRule="auto"/>
              <w:rPr>
                <w:rFonts w:ascii="Calibri" w:eastAsia="Times New Roman" w:hAnsi="Calibri" w:cs="Times New Roman"/>
                <w:lang w:eastAsia="en-AU"/>
              </w:rPr>
            </w:pPr>
            <w:r w:rsidRPr="00E625E8">
              <w:rPr>
                <w:rFonts w:ascii="Calibri" w:eastAsia="Times New Roman" w:hAnsi="Calibri" w:cs="Times New Roman"/>
                <w:lang w:eastAsia="en-AU"/>
              </w:rPr>
              <w:t>Job search</w:t>
            </w:r>
          </w:p>
        </w:tc>
        <w:tc>
          <w:tcPr>
            <w:tcW w:w="992" w:type="dxa"/>
            <w:tcBorders>
              <w:top w:val="nil"/>
              <w:left w:val="nil"/>
              <w:bottom w:val="single" w:sz="4" w:space="0" w:color="000000"/>
              <w:right w:val="single" w:sz="4" w:space="0" w:color="000000"/>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32,874</w:t>
            </w:r>
          </w:p>
        </w:tc>
        <w:tc>
          <w:tcPr>
            <w:tcW w:w="993"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lang w:eastAsia="en-AU"/>
              </w:rPr>
            </w:pPr>
            <w:r w:rsidRPr="00E625E8">
              <w:rPr>
                <w:rFonts w:ascii="Calibri" w:eastAsia="Times New Roman" w:hAnsi="Calibri" w:cs="Times New Roman"/>
                <w:lang w:eastAsia="en-AU"/>
              </w:rPr>
              <w:t>35,508</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53,740</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55,308</w:t>
            </w:r>
          </w:p>
        </w:tc>
        <w:tc>
          <w:tcPr>
            <w:tcW w:w="992"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57,033</w:t>
            </w:r>
          </w:p>
        </w:tc>
      </w:tr>
      <w:tr w:rsidR="00E625E8" w:rsidRPr="00E625E8" w:rsidTr="00E625E8">
        <w:trPr>
          <w:trHeight w:val="300"/>
        </w:trPr>
        <w:tc>
          <w:tcPr>
            <w:tcW w:w="2992" w:type="dxa"/>
            <w:tcBorders>
              <w:top w:val="nil"/>
              <w:left w:val="single" w:sz="8" w:space="0" w:color="auto"/>
              <w:bottom w:val="single" w:sz="4" w:space="0" w:color="auto"/>
              <w:right w:val="single" w:sz="4" w:space="0" w:color="auto"/>
            </w:tcBorders>
            <w:shd w:val="clear" w:color="auto" w:fill="auto"/>
            <w:noWrap/>
            <w:hideMark/>
          </w:tcPr>
          <w:p w:rsidR="00E625E8" w:rsidRPr="00E625E8" w:rsidRDefault="00E625E8" w:rsidP="00E625E8">
            <w:pPr>
              <w:spacing w:after="0" w:line="240" w:lineRule="auto"/>
              <w:rPr>
                <w:rFonts w:ascii="Calibri" w:eastAsia="Times New Roman" w:hAnsi="Calibri" w:cs="Times New Roman"/>
                <w:lang w:eastAsia="en-AU"/>
              </w:rPr>
            </w:pPr>
            <w:r w:rsidRPr="00E625E8">
              <w:rPr>
                <w:rFonts w:ascii="Calibri" w:eastAsia="Times New Roman" w:hAnsi="Calibri" w:cs="Times New Roman"/>
                <w:lang w:eastAsia="en-AU"/>
              </w:rPr>
              <w:t>Other approved activities</w:t>
            </w:r>
          </w:p>
        </w:tc>
        <w:tc>
          <w:tcPr>
            <w:tcW w:w="992"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lang w:eastAsia="en-AU"/>
              </w:rPr>
            </w:pPr>
            <w:r w:rsidRPr="00E625E8">
              <w:rPr>
                <w:rFonts w:ascii="Calibri" w:eastAsia="Times New Roman" w:hAnsi="Calibri" w:cs="Times New Roman"/>
                <w:lang w:eastAsia="en-AU"/>
              </w:rPr>
              <w:t>43,089</w:t>
            </w:r>
          </w:p>
        </w:tc>
        <w:tc>
          <w:tcPr>
            <w:tcW w:w="993"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lang w:eastAsia="en-AU"/>
              </w:rPr>
            </w:pPr>
            <w:r w:rsidRPr="00E625E8">
              <w:rPr>
                <w:rFonts w:ascii="Calibri" w:eastAsia="Times New Roman" w:hAnsi="Calibri" w:cs="Times New Roman"/>
                <w:lang w:eastAsia="en-AU"/>
              </w:rPr>
              <w:t>37,930</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47,031</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46,163</w:t>
            </w:r>
          </w:p>
        </w:tc>
        <w:tc>
          <w:tcPr>
            <w:tcW w:w="992"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44,081</w:t>
            </w:r>
          </w:p>
        </w:tc>
      </w:tr>
      <w:tr w:rsidR="00E625E8" w:rsidRPr="00E625E8" w:rsidTr="00E625E8">
        <w:trPr>
          <w:trHeight w:val="300"/>
        </w:trPr>
        <w:tc>
          <w:tcPr>
            <w:tcW w:w="2992" w:type="dxa"/>
            <w:tcBorders>
              <w:top w:val="nil"/>
              <w:left w:val="single" w:sz="8" w:space="0" w:color="auto"/>
              <w:bottom w:val="single" w:sz="4" w:space="0" w:color="auto"/>
              <w:right w:val="single" w:sz="4" w:space="0" w:color="auto"/>
            </w:tcBorders>
            <w:shd w:val="clear" w:color="auto" w:fill="auto"/>
            <w:noWrap/>
            <w:hideMark/>
          </w:tcPr>
          <w:p w:rsidR="00E625E8" w:rsidRPr="00E625E8" w:rsidRDefault="00E625E8" w:rsidP="00E625E8">
            <w:pPr>
              <w:spacing w:after="0" w:line="240" w:lineRule="auto"/>
              <w:rPr>
                <w:rFonts w:ascii="Calibri" w:eastAsia="Times New Roman" w:hAnsi="Calibri" w:cs="Times New Roman"/>
                <w:lang w:eastAsia="en-AU"/>
              </w:rPr>
            </w:pPr>
            <w:r w:rsidRPr="00E625E8">
              <w:rPr>
                <w:rFonts w:ascii="Calibri" w:eastAsia="Times New Roman" w:hAnsi="Calibri" w:cs="Times New Roman"/>
                <w:lang w:eastAsia="en-AU"/>
              </w:rPr>
              <w:t>Other exemption</w:t>
            </w:r>
          </w:p>
        </w:tc>
        <w:tc>
          <w:tcPr>
            <w:tcW w:w="992" w:type="dxa"/>
            <w:tcBorders>
              <w:top w:val="nil"/>
              <w:left w:val="nil"/>
              <w:bottom w:val="single" w:sz="4" w:space="0" w:color="000000"/>
              <w:right w:val="single" w:sz="4" w:space="0" w:color="000000"/>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3,467</w:t>
            </w:r>
          </w:p>
        </w:tc>
        <w:tc>
          <w:tcPr>
            <w:tcW w:w="993"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lang w:eastAsia="en-AU"/>
              </w:rPr>
            </w:pPr>
            <w:r w:rsidRPr="00E625E8">
              <w:rPr>
                <w:rFonts w:ascii="Calibri" w:eastAsia="Times New Roman" w:hAnsi="Calibri" w:cs="Times New Roman"/>
                <w:lang w:eastAsia="en-AU"/>
              </w:rPr>
              <w:t>3,590</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4,858</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4,367</w:t>
            </w:r>
          </w:p>
        </w:tc>
        <w:tc>
          <w:tcPr>
            <w:tcW w:w="992"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4,130</w:t>
            </w:r>
          </w:p>
        </w:tc>
      </w:tr>
      <w:tr w:rsidR="00E625E8" w:rsidRPr="00E625E8" w:rsidTr="00E625E8">
        <w:trPr>
          <w:trHeight w:val="300"/>
        </w:trPr>
        <w:tc>
          <w:tcPr>
            <w:tcW w:w="2992" w:type="dxa"/>
            <w:tcBorders>
              <w:top w:val="nil"/>
              <w:left w:val="single" w:sz="8" w:space="0" w:color="auto"/>
              <w:bottom w:val="single" w:sz="4" w:space="0" w:color="auto"/>
              <w:right w:val="single" w:sz="4" w:space="0" w:color="auto"/>
            </w:tcBorders>
            <w:shd w:val="clear" w:color="auto" w:fill="auto"/>
            <w:noWrap/>
            <w:hideMark/>
          </w:tcPr>
          <w:p w:rsidR="00E625E8" w:rsidRPr="00E625E8" w:rsidRDefault="00E625E8" w:rsidP="00E625E8">
            <w:pPr>
              <w:spacing w:after="0" w:line="240" w:lineRule="auto"/>
              <w:rPr>
                <w:rFonts w:ascii="Calibri" w:eastAsia="Times New Roman" w:hAnsi="Calibri" w:cs="Times New Roman"/>
                <w:lang w:eastAsia="en-AU"/>
              </w:rPr>
            </w:pPr>
            <w:r w:rsidRPr="00E625E8">
              <w:rPr>
                <w:rFonts w:ascii="Calibri" w:eastAsia="Times New Roman" w:hAnsi="Calibri" w:cs="Times New Roman"/>
                <w:lang w:eastAsia="en-AU"/>
              </w:rPr>
              <w:t>Zero paid</w:t>
            </w:r>
          </w:p>
        </w:tc>
        <w:tc>
          <w:tcPr>
            <w:tcW w:w="992"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lang w:eastAsia="en-AU"/>
              </w:rPr>
            </w:pPr>
            <w:r w:rsidRPr="00E625E8">
              <w:rPr>
                <w:rFonts w:ascii="Calibri" w:eastAsia="Times New Roman" w:hAnsi="Calibri" w:cs="Times New Roman"/>
                <w:lang w:eastAsia="en-AU"/>
              </w:rPr>
              <w:t>2,968</w:t>
            </w:r>
          </w:p>
        </w:tc>
        <w:tc>
          <w:tcPr>
            <w:tcW w:w="993"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lang w:eastAsia="en-AU"/>
              </w:rPr>
            </w:pPr>
            <w:r w:rsidRPr="00E625E8">
              <w:rPr>
                <w:rFonts w:ascii="Calibri" w:eastAsia="Times New Roman" w:hAnsi="Calibri" w:cs="Times New Roman"/>
                <w:lang w:eastAsia="en-AU"/>
              </w:rPr>
              <w:t>2,752</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3,219</w:t>
            </w:r>
          </w:p>
        </w:tc>
        <w:tc>
          <w:tcPr>
            <w:tcW w:w="1134"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3,314</w:t>
            </w:r>
          </w:p>
        </w:tc>
        <w:tc>
          <w:tcPr>
            <w:tcW w:w="992" w:type="dxa"/>
            <w:tcBorders>
              <w:top w:val="nil"/>
              <w:left w:val="nil"/>
              <w:bottom w:val="single" w:sz="4" w:space="0" w:color="auto"/>
              <w:right w:val="single" w:sz="4" w:space="0" w:color="auto"/>
            </w:tcBorders>
            <w:shd w:val="clear" w:color="auto" w:fill="auto"/>
            <w:noWrap/>
            <w:vAlign w:val="center"/>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3,101</w:t>
            </w:r>
          </w:p>
        </w:tc>
      </w:tr>
    </w:tbl>
    <w:p w:rsidR="00E625E8" w:rsidRDefault="00E625E8" w:rsidP="00483D2C"/>
    <w:p w:rsidR="002459E4" w:rsidRDefault="002459E4" w:rsidP="002459E4">
      <w:pPr>
        <w:pStyle w:val="Heading2"/>
      </w:pPr>
      <w:bookmarkStart w:id="14" w:name="_Toc432599284"/>
      <w:r>
        <w:rPr>
          <w:rFonts w:eastAsia="Times New Roman"/>
          <w:lang w:eastAsia="en-AU"/>
        </w:rPr>
        <w:t xml:space="preserve">Circumstances before receiving </w:t>
      </w:r>
      <w:r w:rsidR="00E625E8">
        <w:t>Youth Allowance (other)</w:t>
      </w:r>
      <w:bookmarkEnd w:id="14"/>
    </w:p>
    <w:p w:rsidR="002459E4" w:rsidRDefault="00E625E8" w:rsidP="002459E4">
      <w:r w:rsidRPr="00E625E8">
        <w:t xml:space="preserve">Comparing June 2014 to June 2015, the majority of recipients moving onto </w:t>
      </w:r>
      <w:proofErr w:type="gramStart"/>
      <w:r w:rsidRPr="00E625E8">
        <w:t>YA(</w:t>
      </w:r>
      <w:proofErr w:type="gramEnd"/>
      <w:r w:rsidRPr="00E625E8">
        <w:t xml:space="preserve">o) did not transfer from another income support payment. The largest numbers of recipients transferring from another payment came from Youth Allowance (student) (23.5%), </w:t>
      </w:r>
      <w:proofErr w:type="gramStart"/>
      <w:r w:rsidRPr="00E625E8">
        <w:t>ABSTUDY  (</w:t>
      </w:r>
      <w:proofErr w:type="gramEnd"/>
      <w:r w:rsidRPr="00E625E8">
        <w:t>1.7%) and Youth Allowance (apprentice) (0.7%).</w:t>
      </w:r>
    </w:p>
    <w:tbl>
      <w:tblPr>
        <w:tblW w:w="6394" w:type="dxa"/>
        <w:tblInd w:w="93" w:type="dxa"/>
        <w:tblLook w:val="04A0" w:firstRow="1" w:lastRow="0" w:firstColumn="1" w:lastColumn="0" w:noHBand="0" w:noVBand="1"/>
      </w:tblPr>
      <w:tblGrid>
        <w:gridCol w:w="3559"/>
        <w:gridCol w:w="1340"/>
        <w:gridCol w:w="1495"/>
      </w:tblGrid>
      <w:tr w:rsidR="00E625E8" w:rsidRPr="00E625E8" w:rsidTr="00E625E8">
        <w:trPr>
          <w:trHeight w:val="300"/>
        </w:trPr>
        <w:tc>
          <w:tcPr>
            <w:tcW w:w="6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625E8" w:rsidRDefault="00E625E8" w:rsidP="00E625E8">
            <w:pPr>
              <w:spacing w:after="0" w:line="240" w:lineRule="auto"/>
              <w:jc w:val="both"/>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14: Circumstances before receiving Youth Allowance (other)</w:t>
            </w:r>
          </w:p>
        </w:tc>
      </w:tr>
      <w:tr w:rsidR="00E625E8" w:rsidRPr="00E625E8" w:rsidTr="00E625E8">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b/>
                <w:bCs/>
                <w:color w:val="000000"/>
                <w:lang w:eastAsia="en-AU"/>
              </w:rPr>
            </w:pPr>
            <w:r w:rsidRPr="00E625E8">
              <w:rPr>
                <w:rFonts w:ascii="Calibri" w:eastAsia="Times New Roman" w:hAnsi="Calibri" w:cs="Times New Roman"/>
                <w:b/>
                <w:bCs/>
                <w:color w:val="000000"/>
                <w:lang w:eastAsia="en-AU"/>
              </w:rPr>
              <w:t>Circumstance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625E8" w:rsidRPr="002459E4" w:rsidRDefault="00E625E8" w:rsidP="00E625E8">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Recipients</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E625E8" w:rsidRPr="002459E4" w:rsidRDefault="00E625E8" w:rsidP="00E625E8">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Percentage</w:t>
            </w:r>
          </w:p>
        </w:tc>
      </w:tr>
      <w:tr w:rsidR="00E625E8" w:rsidRPr="00E625E8" w:rsidTr="00E625E8">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Not Receiving Income Support</w:t>
            </w:r>
          </w:p>
        </w:tc>
        <w:tc>
          <w:tcPr>
            <w:tcW w:w="1340"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45,765</w:t>
            </w:r>
          </w:p>
        </w:tc>
        <w:tc>
          <w:tcPr>
            <w:tcW w:w="1495"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72%</w:t>
            </w:r>
          </w:p>
        </w:tc>
      </w:tr>
      <w:tr w:rsidR="00E625E8" w:rsidRPr="00E625E8" w:rsidTr="00E625E8">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Working Age Payment</w:t>
            </w:r>
          </w:p>
        </w:tc>
        <w:tc>
          <w:tcPr>
            <w:tcW w:w="1340"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458</w:t>
            </w:r>
          </w:p>
        </w:tc>
        <w:tc>
          <w:tcPr>
            <w:tcW w:w="1495"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1%</w:t>
            </w:r>
          </w:p>
        </w:tc>
      </w:tr>
      <w:tr w:rsidR="00E625E8" w:rsidRPr="00E625E8" w:rsidTr="00E625E8">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Student Payment</w:t>
            </w:r>
          </w:p>
        </w:tc>
        <w:tc>
          <w:tcPr>
            <w:tcW w:w="1340"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16,424</w:t>
            </w:r>
          </w:p>
        </w:tc>
        <w:tc>
          <w:tcPr>
            <w:tcW w:w="1495"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26%</w:t>
            </w:r>
          </w:p>
        </w:tc>
      </w:tr>
      <w:tr w:rsidR="00E625E8" w:rsidRPr="00E625E8" w:rsidTr="00E625E8">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Other Income Support Payment</w:t>
            </w:r>
          </w:p>
        </w:tc>
        <w:tc>
          <w:tcPr>
            <w:tcW w:w="1340"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478</w:t>
            </w:r>
          </w:p>
        </w:tc>
        <w:tc>
          <w:tcPr>
            <w:tcW w:w="1495"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1%</w:t>
            </w:r>
          </w:p>
        </w:tc>
      </w:tr>
    </w:tbl>
    <w:p w:rsidR="00E625E8" w:rsidRDefault="00E625E8" w:rsidP="002459E4"/>
    <w:p w:rsidR="00D658E0" w:rsidRDefault="00D658E0" w:rsidP="00D658E0">
      <w:pPr>
        <w:pStyle w:val="Heading2"/>
      </w:pPr>
      <w:bookmarkStart w:id="15" w:name="_Toc432599285"/>
      <w:r>
        <w:rPr>
          <w:rFonts w:eastAsia="Times New Roman"/>
          <w:lang w:eastAsia="en-AU"/>
        </w:rPr>
        <w:t xml:space="preserve">Circumstances after receiving </w:t>
      </w:r>
      <w:r w:rsidR="00E625E8">
        <w:t>Youth Allowance (other)</w:t>
      </w:r>
      <w:bookmarkEnd w:id="15"/>
    </w:p>
    <w:p w:rsidR="002459E4" w:rsidRDefault="00E625E8" w:rsidP="002459E4">
      <w:r w:rsidRPr="00E625E8">
        <w:t xml:space="preserve">Comparing June 2014 and June 2015, the majority of recipients leaving </w:t>
      </w:r>
      <w:proofErr w:type="gramStart"/>
      <w:r w:rsidRPr="00E625E8">
        <w:t>YA(</w:t>
      </w:r>
      <w:proofErr w:type="gramEnd"/>
      <w:r w:rsidRPr="00E625E8">
        <w:t>o) moved off income support altogether. Recipients who transferred to another payment type generally transferred to another working age payment (such as</w:t>
      </w:r>
      <w:bookmarkStart w:id="16" w:name="_GoBack"/>
      <w:bookmarkEnd w:id="16"/>
      <w:r w:rsidRPr="00E625E8">
        <w:t xml:space="preserve"> </w:t>
      </w:r>
      <w:proofErr w:type="spellStart"/>
      <w:r w:rsidRPr="00E625E8">
        <w:t>Newstart</w:t>
      </w:r>
      <w:proofErr w:type="spellEnd"/>
      <w:r w:rsidRPr="00E625E8">
        <w:t xml:space="preserve"> Allowance (20.3%) or Parenting Payment Single (5.5%)) or a student payment (such as Youth Allowance (student) (13%)).</w:t>
      </w:r>
    </w:p>
    <w:tbl>
      <w:tblPr>
        <w:tblW w:w="6394" w:type="dxa"/>
        <w:tblInd w:w="93" w:type="dxa"/>
        <w:tblLook w:val="04A0" w:firstRow="1" w:lastRow="0" w:firstColumn="1" w:lastColumn="0" w:noHBand="0" w:noVBand="1"/>
      </w:tblPr>
      <w:tblGrid>
        <w:gridCol w:w="3559"/>
        <w:gridCol w:w="1418"/>
        <w:gridCol w:w="1417"/>
      </w:tblGrid>
      <w:tr w:rsidR="00E625E8" w:rsidRPr="00E625E8" w:rsidTr="00E625E8">
        <w:trPr>
          <w:trHeight w:val="300"/>
        </w:trPr>
        <w:tc>
          <w:tcPr>
            <w:tcW w:w="6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625E8" w:rsidRDefault="00E625E8" w:rsidP="00E625E8">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Table 15: Circumstances after receiving Youth Allowance (other)</w:t>
            </w:r>
          </w:p>
        </w:tc>
      </w:tr>
      <w:tr w:rsidR="00E625E8" w:rsidRPr="00E625E8" w:rsidTr="00E625E8">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b/>
                <w:bCs/>
                <w:color w:val="000000"/>
                <w:lang w:eastAsia="en-AU"/>
              </w:rPr>
            </w:pPr>
            <w:r w:rsidRPr="00E625E8">
              <w:rPr>
                <w:rFonts w:ascii="Calibri" w:eastAsia="Times New Roman" w:hAnsi="Calibri" w:cs="Times New Roman"/>
                <w:b/>
                <w:bCs/>
                <w:color w:val="000000"/>
                <w:lang w:eastAsia="en-AU"/>
              </w:rPr>
              <w:t>Circumstance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25E8" w:rsidRPr="002459E4" w:rsidRDefault="00E625E8" w:rsidP="00E625E8">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Recipients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625E8" w:rsidRPr="002459E4" w:rsidRDefault="00E625E8" w:rsidP="00E625E8">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Percentage</w:t>
            </w:r>
          </w:p>
        </w:tc>
      </w:tr>
      <w:tr w:rsidR="00E625E8" w:rsidRPr="00E625E8" w:rsidTr="00E625E8">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Not Receiving Income Support</w:t>
            </w:r>
          </w:p>
        </w:tc>
        <w:tc>
          <w:tcPr>
            <w:tcW w:w="1418"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lang w:eastAsia="en-AU"/>
              </w:rPr>
            </w:pPr>
            <w:r w:rsidRPr="00E625E8">
              <w:rPr>
                <w:rFonts w:ascii="Calibri" w:eastAsia="Times New Roman" w:hAnsi="Calibri" w:cs="Times New Roman"/>
                <w:lang w:eastAsia="en-AU"/>
              </w:rPr>
              <w:t>35,168</w:t>
            </w:r>
          </w:p>
        </w:tc>
        <w:tc>
          <w:tcPr>
            <w:tcW w:w="1417"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55%</w:t>
            </w:r>
          </w:p>
        </w:tc>
      </w:tr>
      <w:tr w:rsidR="00E625E8" w:rsidRPr="00E625E8" w:rsidTr="00E625E8">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Working Age Payment</w:t>
            </w:r>
          </w:p>
        </w:tc>
        <w:tc>
          <w:tcPr>
            <w:tcW w:w="1418"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18,284</w:t>
            </w:r>
          </w:p>
        </w:tc>
        <w:tc>
          <w:tcPr>
            <w:tcW w:w="1417"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28%</w:t>
            </w:r>
          </w:p>
        </w:tc>
      </w:tr>
      <w:tr w:rsidR="00E625E8" w:rsidRPr="00E625E8" w:rsidTr="00E625E8">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Student Payment</w:t>
            </w:r>
          </w:p>
        </w:tc>
        <w:tc>
          <w:tcPr>
            <w:tcW w:w="1418"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9,425</w:t>
            </w:r>
          </w:p>
        </w:tc>
        <w:tc>
          <w:tcPr>
            <w:tcW w:w="1417"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15%</w:t>
            </w:r>
          </w:p>
        </w:tc>
      </w:tr>
      <w:tr w:rsidR="00E625E8" w:rsidRPr="00E625E8" w:rsidTr="00E625E8">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Other Income Support Payment</w:t>
            </w:r>
          </w:p>
        </w:tc>
        <w:tc>
          <w:tcPr>
            <w:tcW w:w="1418"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1,626</w:t>
            </w:r>
          </w:p>
        </w:tc>
        <w:tc>
          <w:tcPr>
            <w:tcW w:w="1417" w:type="dxa"/>
            <w:tcBorders>
              <w:top w:val="nil"/>
              <w:left w:val="nil"/>
              <w:bottom w:val="single" w:sz="4" w:space="0" w:color="auto"/>
              <w:right w:val="single" w:sz="4" w:space="0" w:color="auto"/>
            </w:tcBorders>
            <w:shd w:val="clear" w:color="auto" w:fill="auto"/>
            <w:noWrap/>
            <w:vAlign w:val="bottom"/>
            <w:hideMark/>
          </w:tcPr>
          <w:p w:rsidR="00E625E8" w:rsidRPr="00E625E8" w:rsidRDefault="00E625E8" w:rsidP="00E625E8">
            <w:pPr>
              <w:spacing w:after="0" w:line="240" w:lineRule="auto"/>
              <w:jc w:val="right"/>
              <w:rPr>
                <w:rFonts w:ascii="Calibri" w:eastAsia="Times New Roman" w:hAnsi="Calibri" w:cs="Times New Roman"/>
                <w:color w:val="000000"/>
                <w:lang w:eastAsia="en-AU"/>
              </w:rPr>
            </w:pPr>
            <w:r w:rsidRPr="00E625E8">
              <w:rPr>
                <w:rFonts w:ascii="Calibri" w:eastAsia="Times New Roman" w:hAnsi="Calibri" w:cs="Times New Roman"/>
                <w:color w:val="000000"/>
                <w:lang w:eastAsia="en-AU"/>
              </w:rPr>
              <w:t>3%</w:t>
            </w:r>
          </w:p>
        </w:tc>
      </w:tr>
    </w:tbl>
    <w:p w:rsidR="00E625E8" w:rsidRDefault="00E625E8" w:rsidP="002459E4"/>
    <w:p w:rsidR="00D658E0" w:rsidRDefault="00D658E0" w:rsidP="002459E4"/>
    <w:p w:rsidR="00EB0B8E" w:rsidRPr="00EB0B8E" w:rsidRDefault="00EB0B8E" w:rsidP="00D82F10">
      <w:pPr>
        <w:pStyle w:val="Heading2"/>
      </w:pPr>
      <w:bookmarkStart w:id="17" w:name="_Toc432599286"/>
      <w:r w:rsidRPr="00EB0B8E">
        <w:lastRenderedPageBreak/>
        <w:t>Data Descriptions</w:t>
      </w:r>
      <w:bookmarkEnd w:id="17"/>
    </w:p>
    <w:p w:rsidR="00E625E8" w:rsidRDefault="00E625E8" w:rsidP="00EB0B8E">
      <w:r w:rsidRPr="00E625E8">
        <w:rPr>
          <w:b/>
        </w:rPr>
        <w:t xml:space="preserve">Youth Allowance (other): </w:t>
      </w:r>
      <w:r w:rsidRPr="00E625E8">
        <w:t xml:space="preserve">Youth Allowance (other) is the primary income support payment for young people aged </w:t>
      </w:r>
      <w:proofErr w:type="gramStart"/>
      <w:r w:rsidRPr="00E625E8">
        <w:t>under</w:t>
      </w:r>
      <w:proofErr w:type="gramEnd"/>
      <w:r w:rsidRPr="00E625E8">
        <w:t xml:space="preserve"> 22 years who are seeking or preparing for paid employment. </w:t>
      </w:r>
    </w:p>
    <w:p w:rsidR="00E625E8" w:rsidRDefault="00E625E8" w:rsidP="00EB0B8E">
      <w:r w:rsidRPr="00E625E8">
        <w:rPr>
          <w:b/>
        </w:rPr>
        <w:t>R</w:t>
      </w:r>
      <w:r w:rsidR="00EB0B8E" w:rsidRPr="00EB0B8E">
        <w:rPr>
          <w:b/>
        </w:rPr>
        <w:t>ecipient Numbers:</w:t>
      </w:r>
      <w:r w:rsidR="00EB0B8E" w:rsidRPr="00EB0B8E">
        <w:t xml:space="preserve"> </w:t>
      </w:r>
      <w:r w:rsidRPr="00E625E8">
        <w:t xml:space="preserve">Recipients of Youth Allowance (other) who are determined to be current (i.e. entitled to be paid) on the Centrelink payment system. </w:t>
      </w:r>
    </w:p>
    <w:p w:rsidR="00A142A6" w:rsidRDefault="00EB0B8E" w:rsidP="00EB0B8E">
      <w:r w:rsidRPr="00EB0B8E">
        <w:rPr>
          <w:b/>
        </w:rPr>
        <w:t>Note:</w:t>
      </w:r>
      <w:r w:rsidRPr="00EB0B8E">
        <w:t xml:space="preserve"> Recipient numbers are point-in-time as at the end of the month, using the definition above, these numbers differ from the data in the Labour Market and Related Payments publication, whic</w:t>
      </w:r>
      <w:r w:rsidR="00A142A6">
        <w:t>h are averaged over the month.</w:t>
      </w:r>
    </w:p>
    <w:p w:rsidR="00A142A6" w:rsidRDefault="00EB0B8E" w:rsidP="00EB0B8E">
      <w:r w:rsidRPr="00A142A6">
        <w:rPr>
          <w:b/>
        </w:rPr>
        <w:t xml:space="preserve">Report Details: </w:t>
      </w:r>
      <w:r w:rsidRPr="00EB0B8E">
        <w:t>Payment trends and profiles report - June 2015 - Produced by th</w:t>
      </w:r>
      <w:r w:rsidR="00A142A6">
        <w:t>e Department of Social Services.</w:t>
      </w:r>
    </w:p>
    <w:p w:rsidR="00EB0B8E" w:rsidRPr="00EB0B8E" w:rsidRDefault="00EB0B8E" w:rsidP="00EB0B8E">
      <w:r w:rsidRPr="00A142A6">
        <w:rPr>
          <w:b/>
        </w:rPr>
        <w:t xml:space="preserve">Licence: </w:t>
      </w:r>
      <w:hyperlink r:id="rId6" w:history="1">
        <w:r w:rsidRPr="00A142A6">
          <w:rPr>
            <w:rStyle w:val="Hyperlink"/>
          </w:rPr>
          <w:t>Creative Commons</w:t>
        </w:r>
        <w:r w:rsidR="00A142A6" w:rsidRPr="00A142A6">
          <w:rPr>
            <w:rStyle w:val="Hyperlink"/>
          </w:rPr>
          <w:t xml:space="preserve"> Attribution 3.0 Australia</w:t>
        </w:r>
      </w:hyperlink>
      <w:r w:rsidRPr="00EB0B8E">
        <w:tab/>
      </w:r>
      <w:r w:rsidRPr="00EB0B8E">
        <w:tab/>
      </w:r>
    </w:p>
    <w:p w:rsidR="00A142A6" w:rsidRDefault="00EB0B8E" w:rsidP="00EB0B8E">
      <w:r w:rsidRPr="00A142A6">
        <w:rPr>
          <w:b/>
        </w:rPr>
        <w:t>Source:</w:t>
      </w:r>
      <w:r w:rsidRPr="00EB0B8E">
        <w:t xml:space="preserve"> Department of Human Services Administrative da</w:t>
      </w:r>
      <w:r w:rsidR="00A142A6">
        <w:t>ta (DSS Extracts)</w:t>
      </w:r>
    </w:p>
    <w:p w:rsidR="00A142A6" w:rsidRDefault="00EB0B8E" w:rsidP="00EB0B8E">
      <w:r w:rsidRPr="00A142A6">
        <w:rPr>
          <w:b/>
        </w:rPr>
        <w:t xml:space="preserve">Data Date: </w:t>
      </w:r>
      <w:r w:rsidRPr="00EB0B8E">
        <w:t>Data as a</w:t>
      </w:r>
      <w:r w:rsidR="00A142A6">
        <w:t>t the 26th of June 2015.</w:t>
      </w:r>
    </w:p>
    <w:p w:rsidR="00A142A6" w:rsidRDefault="00EB0B8E" w:rsidP="00EB0B8E">
      <w:r w:rsidRPr="00A142A6">
        <w:rPr>
          <w:b/>
        </w:rPr>
        <w:t>Australian National Accounts:</w:t>
      </w:r>
      <w:r w:rsidRPr="00EB0B8E">
        <w:t xml:space="preserve"> National Income, Expenditure and Product: Table 34 Time Series Spreadsheets</w:t>
      </w:r>
      <w:r w:rsidR="00A142A6">
        <w:t xml:space="preserve"> (cat. no. 5206.0).</w:t>
      </w:r>
    </w:p>
    <w:p w:rsidR="00EB0B8E" w:rsidRPr="00EB0B8E" w:rsidRDefault="00A142A6" w:rsidP="00EB0B8E">
      <w:r w:rsidRPr="00A142A6">
        <w:rPr>
          <w:b/>
        </w:rPr>
        <w:t>A</w:t>
      </w:r>
      <w:r w:rsidR="00EB0B8E" w:rsidRPr="00A142A6">
        <w:rPr>
          <w:b/>
        </w:rPr>
        <w:t>ustralian Bureau of Statistics Census 2011:</w:t>
      </w:r>
      <w:r w:rsidR="00EB0B8E" w:rsidRPr="00EB0B8E">
        <w:t xml:space="preserve"> Australian Bureau of Statistics, 2011 Census of Population and Housing, Table Builder, RA by AG</w:t>
      </w:r>
      <w:r>
        <w:t>E5P - Age in Five Year Groups.</w:t>
      </w:r>
      <w:r w:rsidR="00EB0B8E" w:rsidRPr="00EB0B8E">
        <w:tab/>
      </w:r>
    </w:p>
    <w:p w:rsidR="00EB0B8E" w:rsidRPr="00EB0B8E" w:rsidRDefault="00A142A6" w:rsidP="00A142A6">
      <w:pPr>
        <w:pStyle w:val="Heading2"/>
      </w:pPr>
      <w:bookmarkStart w:id="18" w:name="_Toc432599287"/>
      <w:r>
        <w:t>Glossary</w:t>
      </w:r>
      <w:bookmarkEnd w:id="18"/>
    </w:p>
    <w:p w:rsidR="00A142A6" w:rsidRDefault="00EB0B8E" w:rsidP="00A142A6">
      <w:r w:rsidRPr="00A142A6">
        <w:rPr>
          <w:b/>
        </w:rPr>
        <w:t xml:space="preserve">Activity: </w:t>
      </w:r>
      <w:r w:rsidRPr="00EB0B8E">
        <w:t xml:space="preserve">The main activity undertaken by a recipient with </w:t>
      </w:r>
      <w:r w:rsidR="00A142A6">
        <w:t>participation requirements.</w:t>
      </w:r>
    </w:p>
    <w:p w:rsidR="00A142A6" w:rsidRDefault="00EB0B8E" w:rsidP="00A142A6">
      <w:r w:rsidRPr="00A142A6">
        <w:rPr>
          <w:b/>
        </w:rPr>
        <w:t xml:space="preserve">Age Group: </w:t>
      </w:r>
      <w:r w:rsidRPr="00EB0B8E">
        <w:t>The age group of the recipient.</w:t>
      </w:r>
    </w:p>
    <w:p w:rsidR="00A142A6" w:rsidRDefault="00A142A6" w:rsidP="00A142A6">
      <w:r w:rsidRPr="00A142A6">
        <w:rPr>
          <w:b/>
        </w:rPr>
        <w:t>C</w:t>
      </w:r>
      <w:r w:rsidR="00EB0B8E" w:rsidRPr="00A142A6">
        <w:rPr>
          <w:b/>
        </w:rPr>
        <w:t xml:space="preserve">ircumstances after </w:t>
      </w:r>
      <w:proofErr w:type="gramStart"/>
      <w:r w:rsidR="00E625E8">
        <w:rPr>
          <w:b/>
        </w:rPr>
        <w:t>YA(</w:t>
      </w:r>
      <w:proofErr w:type="gramEnd"/>
      <w:r w:rsidR="00E625E8">
        <w:rPr>
          <w:b/>
        </w:rPr>
        <w:t>o)</w:t>
      </w:r>
      <w:r w:rsidR="00EB0B8E" w:rsidRPr="00A142A6">
        <w:rPr>
          <w:b/>
        </w:rPr>
        <w:t xml:space="preserve">: </w:t>
      </w:r>
      <w:r w:rsidR="00EB0B8E" w:rsidRPr="00EB0B8E">
        <w:t xml:space="preserve">This data compares two points in time, one year apart. 'Not Receiving Income Support' describes those who were in receipt of </w:t>
      </w:r>
      <w:proofErr w:type="gramStart"/>
      <w:r w:rsidR="00E625E8">
        <w:t>Y</w:t>
      </w:r>
      <w:r w:rsidR="00EB0B8E" w:rsidRPr="00EB0B8E">
        <w:t>A</w:t>
      </w:r>
      <w:r w:rsidR="00E625E8">
        <w:t>(</w:t>
      </w:r>
      <w:proofErr w:type="gramEnd"/>
      <w:r w:rsidR="00E625E8">
        <w:t>o)</w:t>
      </w:r>
      <w:r w:rsidR="00EB0B8E" w:rsidRPr="00EB0B8E">
        <w:t xml:space="preserve"> at the first point in time, who were  not receiving an income support payment at the second point in time. This data does not take into account Family Tax Benefit.</w:t>
      </w:r>
    </w:p>
    <w:p w:rsidR="00D82F10" w:rsidRDefault="00A142A6" w:rsidP="00A142A6">
      <w:r w:rsidRPr="00A142A6">
        <w:rPr>
          <w:b/>
        </w:rPr>
        <w:t>C</w:t>
      </w:r>
      <w:r w:rsidR="00EB0B8E" w:rsidRPr="00A142A6">
        <w:rPr>
          <w:b/>
        </w:rPr>
        <w:t xml:space="preserve">ircumstances before </w:t>
      </w:r>
      <w:proofErr w:type="gramStart"/>
      <w:r w:rsidR="00E625E8">
        <w:rPr>
          <w:b/>
        </w:rPr>
        <w:t>YA(</w:t>
      </w:r>
      <w:proofErr w:type="gramEnd"/>
      <w:r w:rsidR="00E625E8">
        <w:rPr>
          <w:b/>
        </w:rPr>
        <w:t>o)</w:t>
      </w:r>
      <w:r w:rsidR="00EB0B8E" w:rsidRPr="00A142A6">
        <w:rPr>
          <w:b/>
        </w:rPr>
        <w:t xml:space="preserve">: </w:t>
      </w:r>
      <w:r w:rsidR="00EB0B8E" w:rsidRPr="00EB0B8E">
        <w:t xml:space="preserve">This data compares two points in time, one year apart. 'Not Receiving Income Support' describes those who were not in receipt of an income support payment at the first point in time, who were receiving </w:t>
      </w:r>
      <w:proofErr w:type="gramStart"/>
      <w:r w:rsidR="00E625E8">
        <w:t>Y</w:t>
      </w:r>
      <w:r w:rsidR="00EB0B8E" w:rsidRPr="00EB0B8E">
        <w:t>A</w:t>
      </w:r>
      <w:r w:rsidR="00E625E8">
        <w:t>(</w:t>
      </w:r>
      <w:proofErr w:type="gramEnd"/>
      <w:r w:rsidR="00E625E8">
        <w:t>o)</w:t>
      </w:r>
      <w:r w:rsidR="00EB0B8E" w:rsidRPr="00EB0B8E">
        <w:t xml:space="preserve"> at the second point in time. This data does not take into account Family Tax Benefit.</w:t>
      </w:r>
    </w:p>
    <w:p w:rsidR="00E625E8" w:rsidRDefault="00E625E8" w:rsidP="00A142A6">
      <w:r w:rsidRPr="00E625E8">
        <w:rPr>
          <w:b/>
        </w:rPr>
        <w:t xml:space="preserve">Dependent: </w:t>
      </w:r>
      <w:r w:rsidRPr="00E625E8">
        <w:t>Recipients are classified as dependent for the purposes of the Social Security Act if they do not meet independence reasons.</w:t>
      </w:r>
    </w:p>
    <w:p w:rsidR="00D82F10" w:rsidRDefault="00D82F10" w:rsidP="00A142A6">
      <w:r w:rsidRPr="00D82F10">
        <w:rPr>
          <w:b/>
        </w:rPr>
        <w:t>D</w:t>
      </w:r>
      <w:r w:rsidR="00EB0B8E" w:rsidRPr="00D82F10">
        <w:rPr>
          <w:b/>
        </w:rPr>
        <w:t>uration:</w:t>
      </w:r>
      <w:r w:rsidR="00EB0B8E" w:rsidRPr="00EB0B8E">
        <w:t xml:space="preserve"> Duration refers to duration on Income Support and may not reflect duration on current payment type.</w:t>
      </w:r>
    </w:p>
    <w:p w:rsidR="00D82F10" w:rsidRDefault="00D82F10" w:rsidP="00A142A6">
      <w:r w:rsidRPr="00D82F10">
        <w:rPr>
          <w:b/>
        </w:rPr>
        <w:t>E</w:t>
      </w:r>
      <w:r w:rsidR="00EB0B8E" w:rsidRPr="00D82F10">
        <w:rPr>
          <w:b/>
        </w:rPr>
        <w:t xml:space="preserve">arnings: </w:t>
      </w:r>
      <w:r w:rsidR="00EB0B8E" w:rsidRPr="00EB0B8E">
        <w:t xml:space="preserve">Earnings </w:t>
      </w:r>
      <w:proofErr w:type="gramStart"/>
      <w:r w:rsidR="00EB0B8E" w:rsidRPr="00EB0B8E">
        <w:t>refers</w:t>
      </w:r>
      <w:proofErr w:type="gramEnd"/>
      <w:r w:rsidR="00EB0B8E" w:rsidRPr="00EB0B8E">
        <w:t xml:space="preserve"> to employment earnings reported in the last fortnight of the reported period.</w:t>
      </w:r>
      <w:r w:rsidR="00EB0B8E" w:rsidRPr="00EB0B8E">
        <w:tab/>
      </w:r>
    </w:p>
    <w:p w:rsidR="00D82F10" w:rsidRDefault="00D82F10" w:rsidP="00A142A6">
      <w:r w:rsidRPr="00D82F10">
        <w:rPr>
          <w:b/>
        </w:rPr>
        <w:lastRenderedPageBreak/>
        <w:t>E</w:t>
      </w:r>
      <w:r w:rsidR="00EB0B8E" w:rsidRPr="00D82F10">
        <w:rPr>
          <w:b/>
        </w:rPr>
        <w:t xml:space="preserve">xpenditure: </w:t>
      </w:r>
      <w:r w:rsidR="00EB0B8E" w:rsidRPr="00EB0B8E">
        <w:t>Expenditure amount, as reported in the Department's Annual Report. '% of GDP' is the expenditure on the payment as a percentage of Australia's Gross Domestic Product (ABS data - see data source above).</w:t>
      </w:r>
      <w:r>
        <w:t xml:space="preserve"> </w:t>
      </w:r>
    </w:p>
    <w:p w:rsidR="00E727BB" w:rsidRDefault="00E727BB" w:rsidP="00A142A6">
      <w:r w:rsidRPr="00E727BB">
        <w:rPr>
          <w:b/>
        </w:rPr>
        <w:t>Independent:</w:t>
      </w:r>
      <w:r w:rsidRPr="00E727BB">
        <w:t xml:space="preserve"> Recipients who are classified as independent for the purposes of the Social Security Act, reasons include evidence of self-support through employment, member of a couple, have a dependent child, unable to live at home or be supported by parents/guardians, over 18 and educationally disadvantaged, or have a partial capacity to work.</w:t>
      </w:r>
    </w:p>
    <w:p w:rsidR="00D82F10" w:rsidRDefault="00D82F10" w:rsidP="00A142A6">
      <w:r w:rsidRPr="00D82F10">
        <w:rPr>
          <w:b/>
        </w:rPr>
        <w:t>I</w:t>
      </w:r>
      <w:r w:rsidR="00EB0B8E" w:rsidRPr="00D82F10">
        <w:rPr>
          <w:b/>
        </w:rPr>
        <w:t xml:space="preserve">ndigenous: </w:t>
      </w:r>
      <w:r w:rsidR="00EB0B8E" w:rsidRPr="00EB0B8E">
        <w:t xml:space="preserve">Indigenous recipients include only those who have voluntarily identified as </w:t>
      </w:r>
      <w:r w:rsidR="003236D6">
        <w:t>I</w:t>
      </w:r>
      <w:r w:rsidR="00EB0B8E" w:rsidRPr="00EB0B8E">
        <w:t>ndigenous. This data may therefore represent an undercount.</w:t>
      </w:r>
    </w:p>
    <w:p w:rsidR="00D82F10" w:rsidRDefault="00D82F10" w:rsidP="00A142A6">
      <w:r w:rsidRPr="00D82F10">
        <w:rPr>
          <w:b/>
        </w:rPr>
        <w:t>P</w:t>
      </w:r>
      <w:r w:rsidR="00EB0B8E" w:rsidRPr="00D82F10">
        <w:rPr>
          <w:b/>
        </w:rPr>
        <w:t xml:space="preserve">artial Capacity to Work: </w:t>
      </w:r>
      <w:r w:rsidR="00EB0B8E" w:rsidRPr="00EB0B8E">
        <w:t xml:space="preserve">Activity tested recipients who have been assessed in the last two years as having a capacity to work of </w:t>
      </w:r>
      <w:proofErr w:type="gramStart"/>
      <w:r w:rsidR="00EB0B8E" w:rsidRPr="00EB0B8E">
        <w:t>under</w:t>
      </w:r>
      <w:proofErr w:type="gramEnd"/>
      <w:r w:rsidR="00EB0B8E" w:rsidRPr="00EB0B8E">
        <w:t xml:space="preserve"> 30 hours per week, due to an ongoing physical, intellectual or psychiatric impairment.</w:t>
      </w:r>
    </w:p>
    <w:p w:rsidR="00D82F10" w:rsidRDefault="00D82F10" w:rsidP="00A142A6">
      <w:r w:rsidRPr="00D82F10">
        <w:rPr>
          <w:b/>
        </w:rPr>
        <w:t>P</w:t>
      </w:r>
      <w:r w:rsidR="00EB0B8E" w:rsidRPr="00D82F10">
        <w:rPr>
          <w:b/>
        </w:rPr>
        <w:t xml:space="preserve">rincipal carer: </w:t>
      </w:r>
      <w:r w:rsidR="00EB0B8E" w:rsidRPr="00EB0B8E">
        <w:t xml:space="preserve">Recipients who have principal caring responsibilities for a dependent </w:t>
      </w:r>
      <w:proofErr w:type="gramStart"/>
      <w:r w:rsidR="00EB0B8E" w:rsidRPr="00EB0B8E">
        <w:t>child(</w:t>
      </w:r>
      <w:proofErr w:type="spellStart"/>
      <w:proofErr w:type="gramEnd"/>
      <w:r w:rsidR="00EB0B8E" w:rsidRPr="00EB0B8E">
        <w:t>ren</w:t>
      </w:r>
      <w:proofErr w:type="spellEnd"/>
      <w:r w:rsidR="00EB0B8E" w:rsidRPr="00EB0B8E">
        <w:t>).</w:t>
      </w:r>
    </w:p>
    <w:p w:rsidR="00D82F10" w:rsidRDefault="00EB0B8E" w:rsidP="00A142A6">
      <w:r w:rsidRPr="00D82F10">
        <w:rPr>
          <w:b/>
        </w:rPr>
        <w:t>Remoteness Area:</w:t>
      </w:r>
      <w:r w:rsidRPr="00EB0B8E">
        <w:t xml:space="preserve"> Remoteness Areas are based on the recipient's geo-coded address against the Australian Statistical Geography Standard (ASGS) 2011.</w:t>
      </w:r>
    </w:p>
    <w:p w:rsidR="00D82F10" w:rsidRDefault="00EB0B8E" w:rsidP="00A142A6">
      <w:r w:rsidRPr="00D82F10">
        <w:rPr>
          <w:b/>
        </w:rPr>
        <w:t xml:space="preserve">Rate: </w:t>
      </w:r>
      <w:r w:rsidRPr="00EB0B8E">
        <w:t>The rate of the recipients payment ('other' include those recipients who, as at the data date,</w:t>
      </w:r>
      <w:r w:rsidR="00D82F10">
        <w:t xml:space="preserve"> were yet to be paid).</w:t>
      </w:r>
    </w:p>
    <w:p w:rsidR="00D82F10" w:rsidRDefault="00EB0B8E" w:rsidP="00A142A6">
      <w:r w:rsidRPr="00D82F10">
        <w:rPr>
          <w:b/>
        </w:rPr>
        <w:t xml:space="preserve">Relationship Status: </w:t>
      </w:r>
      <w:r w:rsidRPr="00EB0B8E">
        <w:t>Partnered includes recipients who are married, de</w:t>
      </w:r>
      <w:r w:rsidR="00E727BB">
        <w:t>-</w:t>
      </w:r>
      <w:r w:rsidRPr="00EB0B8E">
        <w:t>facto or registered.</w:t>
      </w:r>
    </w:p>
    <w:p w:rsidR="00022AC6" w:rsidRDefault="00EB0B8E" w:rsidP="00A142A6">
      <w:r w:rsidRPr="00D82F10">
        <w:rPr>
          <w:b/>
        </w:rPr>
        <w:t xml:space="preserve">State: </w:t>
      </w:r>
      <w:r w:rsidRPr="00EB0B8E">
        <w:t>The State or Territory recorded</w:t>
      </w:r>
      <w:r w:rsidR="00D82F10">
        <w:t xml:space="preserve"> in the recipient's address.</w:t>
      </w:r>
    </w:p>
    <w:p w:rsidR="008D101F" w:rsidRDefault="008D101F" w:rsidP="00A142A6"/>
    <w:p w:rsidR="008D101F" w:rsidRDefault="008D101F" w:rsidP="008D101F">
      <w:pPr>
        <w:pStyle w:val="Heading2"/>
      </w:pPr>
      <w:bookmarkStart w:id="19" w:name="_Toc432599288"/>
      <w:r>
        <w:t>Further Information</w:t>
      </w:r>
      <w:bookmarkEnd w:id="19"/>
    </w:p>
    <w:p w:rsidR="008D101F" w:rsidRPr="007B3E35" w:rsidRDefault="008D101F" w:rsidP="008D101F">
      <w:r w:rsidRPr="007B3E35">
        <w:t xml:space="preserve">The Department of Social Services publishes statistics about the various pensions, benefits and family payments which the Department administers, on a quarterly basis on the Australian Government’s centralised data publishing site, </w:t>
      </w:r>
      <w:hyperlink r:id="rId7" w:history="1">
        <w:r w:rsidRPr="007B3E35">
          <w:rPr>
            <w:rStyle w:val="Hyperlink"/>
          </w:rPr>
          <w:t>data.gov.au</w:t>
        </w:r>
      </w:hyperlink>
      <w:r w:rsidRPr="007B3E35">
        <w:t xml:space="preserve"> (http://www.data.gov.au/organization/about/department-of-social-services). A statistical overview is published on an annual basis on the Department’s website, </w:t>
      </w:r>
      <w:hyperlink r:id="rId8" w:history="1">
        <w:r w:rsidRPr="007B3E35">
          <w:rPr>
            <w:rStyle w:val="Hyperlink"/>
          </w:rPr>
          <w:t>DSS - Statistical Paper Series</w:t>
        </w:r>
      </w:hyperlink>
      <w:r w:rsidRPr="007B3E35">
        <w:t xml:space="preserve"> (http://www.dss.gov.au/about-the-department/publications-articles/research-publications/statistical-paper-series).</w:t>
      </w:r>
    </w:p>
    <w:p w:rsidR="008D101F" w:rsidRPr="007B3E35" w:rsidRDefault="008D101F" w:rsidP="008D101F">
      <w:r w:rsidRPr="008D101F">
        <w:t>For enquiries email:</w:t>
      </w:r>
      <w:r>
        <w:rPr>
          <w:b/>
        </w:rPr>
        <w:t xml:space="preserve">  </w:t>
      </w:r>
      <w:hyperlink r:id="rId9" w:tooltip="income Support Information email address" w:history="1">
        <w:r w:rsidRPr="007B3E35">
          <w:rPr>
            <w:rStyle w:val="Hyperlink"/>
          </w:rPr>
          <w:t>IncomeSupportInformation@dss.gov.au</w:t>
        </w:r>
      </w:hyperlink>
    </w:p>
    <w:p w:rsidR="008D101F" w:rsidRPr="008D101F" w:rsidRDefault="008D101F" w:rsidP="008D101F"/>
    <w:sectPr w:rsidR="008D101F" w:rsidRPr="008D101F" w:rsidSect="00453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18"/>
    <w:rsid w:val="00022AC6"/>
    <w:rsid w:val="00102FC0"/>
    <w:rsid w:val="00106CB4"/>
    <w:rsid w:val="001C0A54"/>
    <w:rsid w:val="002459E4"/>
    <w:rsid w:val="00251177"/>
    <w:rsid w:val="003236D6"/>
    <w:rsid w:val="003E66AE"/>
    <w:rsid w:val="004534F8"/>
    <w:rsid w:val="00483D2C"/>
    <w:rsid w:val="004E5AD6"/>
    <w:rsid w:val="0053465C"/>
    <w:rsid w:val="006C20BA"/>
    <w:rsid w:val="00736E1E"/>
    <w:rsid w:val="007A5576"/>
    <w:rsid w:val="008B15E6"/>
    <w:rsid w:val="008D101F"/>
    <w:rsid w:val="00977331"/>
    <w:rsid w:val="00996ABB"/>
    <w:rsid w:val="00997150"/>
    <w:rsid w:val="00A142A6"/>
    <w:rsid w:val="00A94FE8"/>
    <w:rsid w:val="00B76677"/>
    <w:rsid w:val="00BF0418"/>
    <w:rsid w:val="00C07B4A"/>
    <w:rsid w:val="00C64D16"/>
    <w:rsid w:val="00D658E0"/>
    <w:rsid w:val="00D82F10"/>
    <w:rsid w:val="00E625E8"/>
    <w:rsid w:val="00E727BB"/>
    <w:rsid w:val="00EB0B8E"/>
    <w:rsid w:val="00FF1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1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41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2FC0"/>
    <w:pPr>
      <w:outlineLvl w:val="9"/>
    </w:pPr>
    <w:rPr>
      <w:lang w:val="en-US" w:eastAsia="ja-JP"/>
    </w:rPr>
  </w:style>
  <w:style w:type="paragraph" w:styleId="TOC1">
    <w:name w:val="toc 1"/>
    <w:basedOn w:val="Normal"/>
    <w:next w:val="Normal"/>
    <w:autoRedefine/>
    <w:uiPriority w:val="39"/>
    <w:unhideWhenUsed/>
    <w:rsid w:val="00102FC0"/>
    <w:pPr>
      <w:spacing w:after="100"/>
    </w:pPr>
  </w:style>
  <w:style w:type="paragraph" w:styleId="TOC2">
    <w:name w:val="toc 2"/>
    <w:basedOn w:val="Normal"/>
    <w:next w:val="Normal"/>
    <w:autoRedefine/>
    <w:uiPriority w:val="39"/>
    <w:unhideWhenUsed/>
    <w:rsid w:val="00102FC0"/>
    <w:pPr>
      <w:spacing w:after="100"/>
      <w:ind w:left="220"/>
    </w:pPr>
  </w:style>
  <w:style w:type="character" w:styleId="Hyperlink">
    <w:name w:val="Hyperlink"/>
    <w:basedOn w:val="DefaultParagraphFont"/>
    <w:uiPriority w:val="99"/>
    <w:unhideWhenUsed/>
    <w:rsid w:val="00102FC0"/>
    <w:rPr>
      <w:color w:val="0000FF" w:themeColor="hyperlink"/>
      <w:u w:val="single"/>
    </w:rPr>
  </w:style>
  <w:style w:type="paragraph" w:styleId="BalloonText">
    <w:name w:val="Balloon Text"/>
    <w:basedOn w:val="Normal"/>
    <w:link w:val="BalloonTextChar"/>
    <w:uiPriority w:val="99"/>
    <w:semiHidden/>
    <w:unhideWhenUsed/>
    <w:rsid w:val="0010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C0"/>
    <w:rPr>
      <w:rFonts w:ascii="Tahoma" w:hAnsi="Tahoma" w:cs="Tahoma"/>
      <w:sz w:val="16"/>
      <w:szCs w:val="16"/>
    </w:rPr>
  </w:style>
  <w:style w:type="paragraph" w:styleId="Title">
    <w:name w:val="Title"/>
    <w:basedOn w:val="Normal"/>
    <w:next w:val="Normal"/>
    <w:link w:val="TitleChar"/>
    <w:uiPriority w:val="10"/>
    <w:qFormat/>
    <w:rsid w:val="00102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FC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D10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1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41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2FC0"/>
    <w:pPr>
      <w:outlineLvl w:val="9"/>
    </w:pPr>
    <w:rPr>
      <w:lang w:val="en-US" w:eastAsia="ja-JP"/>
    </w:rPr>
  </w:style>
  <w:style w:type="paragraph" w:styleId="TOC1">
    <w:name w:val="toc 1"/>
    <w:basedOn w:val="Normal"/>
    <w:next w:val="Normal"/>
    <w:autoRedefine/>
    <w:uiPriority w:val="39"/>
    <w:unhideWhenUsed/>
    <w:rsid w:val="00102FC0"/>
    <w:pPr>
      <w:spacing w:after="100"/>
    </w:pPr>
  </w:style>
  <w:style w:type="paragraph" w:styleId="TOC2">
    <w:name w:val="toc 2"/>
    <w:basedOn w:val="Normal"/>
    <w:next w:val="Normal"/>
    <w:autoRedefine/>
    <w:uiPriority w:val="39"/>
    <w:unhideWhenUsed/>
    <w:rsid w:val="00102FC0"/>
    <w:pPr>
      <w:spacing w:after="100"/>
      <w:ind w:left="220"/>
    </w:pPr>
  </w:style>
  <w:style w:type="character" w:styleId="Hyperlink">
    <w:name w:val="Hyperlink"/>
    <w:basedOn w:val="DefaultParagraphFont"/>
    <w:uiPriority w:val="99"/>
    <w:unhideWhenUsed/>
    <w:rsid w:val="00102FC0"/>
    <w:rPr>
      <w:color w:val="0000FF" w:themeColor="hyperlink"/>
      <w:u w:val="single"/>
    </w:rPr>
  </w:style>
  <w:style w:type="paragraph" w:styleId="BalloonText">
    <w:name w:val="Balloon Text"/>
    <w:basedOn w:val="Normal"/>
    <w:link w:val="BalloonTextChar"/>
    <w:uiPriority w:val="99"/>
    <w:semiHidden/>
    <w:unhideWhenUsed/>
    <w:rsid w:val="0010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C0"/>
    <w:rPr>
      <w:rFonts w:ascii="Tahoma" w:hAnsi="Tahoma" w:cs="Tahoma"/>
      <w:sz w:val="16"/>
      <w:szCs w:val="16"/>
    </w:rPr>
  </w:style>
  <w:style w:type="paragraph" w:styleId="Title">
    <w:name w:val="Title"/>
    <w:basedOn w:val="Normal"/>
    <w:next w:val="Normal"/>
    <w:link w:val="TitleChar"/>
    <w:uiPriority w:val="10"/>
    <w:qFormat/>
    <w:rsid w:val="00102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FC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D10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4953">
      <w:bodyDiv w:val="1"/>
      <w:marLeft w:val="0"/>
      <w:marRight w:val="0"/>
      <w:marTop w:val="0"/>
      <w:marBottom w:val="0"/>
      <w:divBdr>
        <w:top w:val="none" w:sz="0" w:space="0" w:color="auto"/>
        <w:left w:val="none" w:sz="0" w:space="0" w:color="auto"/>
        <w:bottom w:val="none" w:sz="0" w:space="0" w:color="auto"/>
        <w:right w:val="none" w:sz="0" w:space="0" w:color="auto"/>
      </w:divBdr>
    </w:div>
    <w:div w:id="150565002">
      <w:bodyDiv w:val="1"/>
      <w:marLeft w:val="0"/>
      <w:marRight w:val="0"/>
      <w:marTop w:val="0"/>
      <w:marBottom w:val="0"/>
      <w:divBdr>
        <w:top w:val="none" w:sz="0" w:space="0" w:color="auto"/>
        <w:left w:val="none" w:sz="0" w:space="0" w:color="auto"/>
        <w:bottom w:val="none" w:sz="0" w:space="0" w:color="auto"/>
        <w:right w:val="none" w:sz="0" w:space="0" w:color="auto"/>
      </w:divBdr>
    </w:div>
    <w:div w:id="191891353">
      <w:bodyDiv w:val="1"/>
      <w:marLeft w:val="0"/>
      <w:marRight w:val="0"/>
      <w:marTop w:val="0"/>
      <w:marBottom w:val="0"/>
      <w:divBdr>
        <w:top w:val="none" w:sz="0" w:space="0" w:color="auto"/>
        <w:left w:val="none" w:sz="0" w:space="0" w:color="auto"/>
        <w:bottom w:val="none" w:sz="0" w:space="0" w:color="auto"/>
        <w:right w:val="none" w:sz="0" w:space="0" w:color="auto"/>
      </w:divBdr>
    </w:div>
    <w:div w:id="208958014">
      <w:bodyDiv w:val="1"/>
      <w:marLeft w:val="0"/>
      <w:marRight w:val="0"/>
      <w:marTop w:val="0"/>
      <w:marBottom w:val="0"/>
      <w:divBdr>
        <w:top w:val="none" w:sz="0" w:space="0" w:color="auto"/>
        <w:left w:val="none" w:sz="0" w:space="0" w:color="auto"/>
        <w:bottom w:val="none" w:sz="0" w:space="0" w:color="auto"/>
        <w:right w:val="none" w:sz="0" w:space="0" w:color="auto"/>
      </w:divBdr>
    </w:div>
    <w:div w:id="236283706">
      <w:bodyDiv w:val="1"/>
      <w:marLeft w:val="0"/>
      <w:marRight w:val="0"/>
      <w:marTop w:val="0"/>
      <w:marBottom w:val="0"/>
      <w:divBdr>
        <w:top w:val="none" w:sz="0" w:space="0" w:color="auto"/>
        <w:left w:val="none" w:sz="0" w:space="0" w:color="auto"/>
        <w:bottom w:val="none" w:sz="0" w:space="0" w:color="auto"/>
        <w:right w:val="none" w:sz="0" w:space="0" w:color="auto"/>
      </w:divBdr>
    </w:div>
    <w:div w:id="247277382">
      <w:bodyDiv w:val="1"/>
      <w:marLeft w:val="0"/>
      <w:marRight w:val="0"/>
      <w:marTop w:val="0"/>
      <w:marBottom w:val="0"/>
      <w:divBdr>
        <w:top w:val="none" w:sz="0" w:space="0" w:color="auto"/>
        <w:left w:val="none" w:sz="0" w:space="0" w:color="auto"/>
        <w:bottom w:val="none" w:sz="0" w:space="0" w:color="auto"/>
        <w:right w:val="none" w:sz="0" w:space="0" w:color="auto"/>
      </w:divBdr>
    </w:div>
    <w:div w:id="250240503">
      <w:bodyDiv w:val="1"/>
      <w:marLeft w:val="0"/>
      <w:marRight w:val="0"/>
      <w:marTop w:val="0"/>
      <w:marBottom w:val="0"/>
      <w:divBdr>
        <w:top w:val="none" w:sz="0" w:space="0" w:color="auto"/>
        <w:left w:val="none" w:sz="0" w:space="0" w:color="auto"/>
        <w:bottom w:val="none" w:sz="0" w:space="0" w:color="auto"/>
        <w:right w:val="none" w:sz="0" w:space="0" w:color="auto"/>
      </w:divBdr>
    </w:div>
    <w:div w:id="289945445">
      <w:bodyDiv w:val="1"/>
      <w:marLeft w:val="0"/>
      <w:marRight w:val="0"/>
      <w:marTop w:val="0"/>
      <w:marBottom w:val="0"/>
      <w:divBdr>
        <w:top w:val="none" w:sz="0" w:space="0" w:color="auto"/>
        <w:left w:val="none" w:sz="0" w:space="0" w:color="auto"/>
        <w:bottom w:val="none" w:sz="0" w:space="0" w:color="auto"/>
        <w:right w:val="none" w:sz="0" w:space="0" w:color="auto"/>
      </w:divBdr>
    </w:div>
    <w:div w:id="350764927">
      <w:bodyDiv w:val="1"/>
      <w:marLeft w:val="0"/>
      <w:marRight w:val="0"/>
      <w:marTop w:val="0"/>
      <w:marBottom w:val="0"/>
      <w:divBdr>
        <w:top w:val="none" w:sz="0" w:space="0" w:color="auto"/>
        <w:left w:val="none" w:sz="0" w:space="0" w:color="auto"/>
        <w:bottom w:val="none" w:sz="0" w:space="0" w:color="auto"/>
        <w:right w:val="none" w:sz="0" w:space="0" w:color="auto"/>
      </w:divBdr>
    </w:div>
    <w:div w:id="364451526">
      <w:bodyDiv w:val="1"/>
      <w:marLeft w:val="0"/>
      <w:marRight w:val="0"/>
      <w:marTop w:val="0"/>
      <w:marBottom w:val="0"/>
      <w:divBdr>
        <w:top w:val="none" w:sz="0" w:space="0" w:color="auto"/>
        <w:left w:val="none" w:sz="0" w:space="0" w:color="auto"/>
        <w:bottom w:val="none" w:sz="0" w:space="0" w:color="auto"/>
        <w:right w:val="none" w:sz="0" w:space="0" w:color="auto"/>
      </w:divBdr>
    </w:div>
    <w:div w:id="369888828">
      <w:bodyDiv w:val="1"/>
      <w:marLeft w:val="0"/>
      <w:marRight w:val="0"/>
      <w:marTop w:val="0"/>
      <w:marBottom w:val="0"/>
      <w:divBdr>
        <w:top w:val="none" w:sz="0" w:space="0" w:color="auto"/>
        <w:left w:val="none" w:sz="0" w:space="0" w:color="auto"/>
        <w:bottom w:val="none" w:sz="0" w:space="0" w:color="auto"/>
        <w:right w:val="none" w:sz="0" w:space="0" w:color="auto"/>
      </w:divBdr>
    </w:div>
    <w:div w:id="445075747">
      <w:bodyDiv w:val="1"/>
      <w:marLeft w:val="0"/>
      <w:marRight w:val="0"/>
      <w:marTop w:val="0"/>
      <w:marBottom w:val="0"/>
      <w:divBdr>
        <w:top w:val="none" w:sz="0" w:space="0" w:color="auto"/>
        <w:left w:val="none" w:sz="0" w:space="0" w:color="auto"/>
        <w:bottom w:val="none" w:sz="0" w:space="0" w:color="auto"/>
        <w:right w:val="none" w:sz="0" w:space="0" w:color="auto"/>
      </w:divBdr>
    </w:div>
    <w:div w:id="471867524">
      <w:bodyDiv w:val="1"/>
      <w:marLeft w:val="0"/>
      <w:marRight w:val="0"/>
      <w:marTop w:val="0"/>
      <w:marBottom w:val="0"/>
      <w:divBdr>
        <w:top w:val="none" w:sz="0" w:space="0" w:color="auto"/>
        <w:left w:val="none" w:sz="0" w:space="0" w:color="auto"/>
        <w:bottom w:val="none" w:sz="0" w:space="0" w:color="auto"/>
        <w:right w:val="none" w:sz="0" w:space="0" w:color="auto"/>
      </w:divBdr>
    </w:div>
    <w:div w:id="496191165">
      <w:bodyDiv w:val="1"/>
      <w:marLeft w:val="0"/>
      <w:marRight w:val="0"/>
      <w:marTop w:val="0"/>
      <w:marBottom w:val="0"/>
      <w:divBdr>
        <w:top w:val="none" w:sz="0" w:space="0" w:color="auto"/>
        <w:left w:val="none" w:sz="0" w:space="0" w:color="auto"/>
        <w:bottom w:val="none" w:sz="0" w:space="0" w:color="auto"/>
        <w:right w:val="none" w:sz="0" w:space="0" w:color="auto"/>
      </w:divBdr>
    </w:div>
    <w:div w:id="501895440">
      <w:bodyDiv w:val="1"/>
      <w:marLeft w:val="0"/>
      <w:marRight w:val="0"/>
      <w:marTop w:val="0"/>
      <w:marBottom w:val="0"/>
      <w:divBdr>
        <w:top w:val="none" w:sz="0" w:space="0" w:color="auto"/>
        <w:left w:val="none" w:sz="0" w:space="0" w:color="auto"/>
        <w:bottom w:val="none" w:sz="0" w:space="0" w:color="auto"/>
        <w:right w:val="none" w:sz="0" w:space="0" w:color="auto"/>
      </w:divBdr>
    </w:div>
    <w:div w:id="538904403">
      <w:bodyDiv w:val="1"/>
      <w:marLeft w:val="0"/>
      <w:marRight w:val="0"/>
      <w:marTop w:val="0"/>
      <w:marBottom w:val="0"/>
      <w:divBdr>
        <w:top w:val="none" w:sz="0" w:space="0" w:color="auto"/>
        <w:left w:val="none" w:sz="0" w:space="0" w:color="auto"/>
        <w:bottom w:val="none" w:sz="0" w:space="0" w:color="auto"/>
        <w:right w:val="none" w:sz="0" w:space="0" w:color="auto"/>
      </w:divBdr>
    </w:div>
    <w:div w:id="547496265">
      <w:bodyDiv w:val="1"/>
      <w:marLeft w:val="0"/>
      <w:marRight w:val="0"/>
      <w:marTop w:val="0"/>
      <w:marBottom w:val="0"/>
      <w:divBdr>
        <w:top w:val="none" w:sz="0" w:space="0" w:color="auto"/>
        <w:left w:val="none" w:sz="0" w:space="0" w:color="auto"/>
        <w:bottom w:val="none" w:sz="0" w:space="0" w:color="auto"/>
        <w:right w:val="none" w:sz="0" w:space="0" w:color="auto"/>
      </w:divBdr>
    </w:div>
    <w:div w:id="626812765">
      <w:bodyDiv w:val="1"/>
      <w:marLeft w:val="0"/>
      <w:marRight w:val="0"/>
      <w:marTop w:val="0"/>
      <w:marBottom w:val="0"/>
      <w:divBdr>
        <w:top w:val="none" w:sz="0" w:space="0" w:color="auto"/>
        <w:left w:val="none" w:sz="0" w:space="0" w:color="auto"/>
        <w:bottom w:val="none" w:sz="0" w:space="0" w:color="auto"/>
        <w:right w:val="none" w:sz="0" w:space="0" w:color="auto"/>
      </w:divBdr>
    </w:div>
    <w:div w:id="648481989">
      <w:bodyDiv w:val="1"/>
      <w:marLeft w:val="0"/>
      <w:marRight w:val="0"/>
      <w:marTop w:val="0"/>
      <w:marBottom w:val="0"/>
      <w:divBdr>
        <w:top w:val="none" w:sz="0" w:space="0" w:color="auto"/>
        <w:left w:val="none" w:sz="0" w:space="0" w:color="auto"/>
        <w:bottom w:val="none" w:sz="0" w:space="0" w:color="auto"/>
        <w:right w:val="none" w:sz="0" w:space="0" w:color="auto"/>
      </w:divBdr>
    </w:div>
    <w:div w:id="665590242">
      <w:bodyDiv w:val="1"/>
      <w:marLeft w:val="0"/>
      <w:marRight w:val="0"/>
      <w:marTop w:val="0"/>
      <w:marBottom w:val="0"/>
      <w:divBdr>
        <w:top w:val="none" w:sz="0" w:space="0" w:color="auto"/>
        <w:left w:val="none" w:sz="0" w:space="0" w:color="auto"/>
        <w:bottom w:val="none" w:sz="0" w:space="0" w:color="auto"/>
        <w:right w:val="none" w:sz="0" w:space="0" w:color="auto"/>
      </w:divBdr>
    </w:div>
    <w:div w:id="779177638">
      <w:bodyDiv w:val="1"/>
      <w:marLeft w:val="0"/>
      <w:marRight w:val="0"/>
      <w:marTop w:val="0"/>
      <w:marBottom w:val="0"/>
      <w:divBdr>
        <w:top w:val="none" w:sz="0" w:space="0" w:color="auto"/>
        <w:left w:val="none" w:sz="0" w:space="0" w:color="auto"/>
        <w:bottom w:val="none" w:sz="0" w:space="0" w:color="auto"/>
        <w:right w:val="none" w:sz="0" w:space="0" w:color="auto"/>
      </w:divBdr>
    </w:div>
    <w:div w:id="810753393">
      <w:bodyDiv w:val="1"/>
      <w:marLeft w:val="0"/>
      <w:marRight w:val="0"/>
      <w:marTop w:val="0"/>
      <w:marBottom w:val="0"/>
      <w:divBdr>
        <w:top w:val="none" w:sz="0" w:space="0" w:color="auto"/>
        <w:left w:val="none" w:sz="0" w:space="0" w:color="auto"/>
        <w:bottom w:val="none" w:sz="0" w:space="0" w:color="auto"/>
        <w:right w:val="none" w:sz="0" w:space="0" w:color="auto"/>
      </w:divBdr>
    </w:div>
    <w:div w:id="894393757">
      <w:bodyDiv w:val="1"/>
      <w:marLeft w:val="0"/>
      <w:marRight w:val="0"/>
      <w:marTop w:val="0"/>
      <w:marBottom w:val="0"/>
      <w:divBdr>
        <w:top w:val="none" w:sz="0" w:space="0" w:color="auto"/>
        <w:left w:val="none" w:sz="0" w:space="0" w:color="auto"/>
        <w:bottom w:val="none" w:sz="0" w:space="0" w:color="auto"/>
        <w:right w:val="none" w:sz="0" w:space="0" w:color="auto"/>
      </w:divBdr>
    </w:div>
    <w:div w:id="911239930">
      <w:bodyDiv w:val="1"/>
      <w:marLeft w:val="0"/>
      <w:marRight w:val="0"/>
      <w:marTop w:val="0"/>
      <w:marBottom w:val="0"/>
      <w:divBdr>
        <w:top w:val="none" w:sz="0" w:space="0" w:color="auto"/>
        <w:left w:val="none" w:sz="0" w:space="0" w:color="auto"/>
        <w:bottom w:val="none" w:sz="0" w:space="0" w:color="auto"/>
        <w:right w:val="none" w:sz="0" w:space="0" w:color="auto"/>
      </w:divBdr>
    </w:div>
    <w:div w:id="1022971122">
      <w:bodyDiv w:val="1"/>
      <w:marLeft w:val="0"/>
      <w:marRight w:val="0"/>
      <w:marTop w:val="0"/>
      <w:marBottom w:val="0"/>
      <w:divBdr>
        <w:top w:val="none" w:sz="0" w:space="0" w:color="auto"/>
        <w:left w:val="none" w:sz="0" w:space="0" w:color="auto"/>
        <w:bottom w:val="none" w:sz="0" w:space="0" w:color="auto"/>
        <w:right w:val="none" w:sz="0" w:space="0" w:color="auto"/>
      </w:divBdr>
    </w:div>
    <w:div w:id="1031997468">
      <w:bodyDiv w:val="1"/>
      <w:marLeft w:val="0"/>
      <w:marRight w:val="0"/>
      <w:marTop w:val="0"/>
      <w:marBottom w:val="0"/>
      <w:divBdr>
        <w:top w:val="none" w:sz="0" w:space="0" w:color="auto"/>
        <w:left w:val="none" w:sz="0" w:space="0" w:color="auto"/>
        <w:bottom w:val="none" w:sz="0" w:space="0" w:color="auto"/>
        <w:right w:val="none" w:sz="0" w:space="0" w:color="auto"/>
      </w:divBdr>
    </w:div>
    <w:div w:id="1065910242">
      <w:bodyDiv w:val="1"/>
      <w:marLeft w:val="0"/>
      <w:marRight w:val="0"/>
      <w:marTop w:val="0"/>
      <w:marBottom w:val="0"/>
      <w:divBdr>
        <w:top w:val="none" w:sz="0" w:space="0" w:color="auto"/>
        <w:left w:val="none" w:sz="0" w:space="0" w:color="auto"/>
        <w:bottom w:val="none" w:sz="0" w:space="0" w:color="auto"/>
        <w:right w:val="none" w:sz="0" w:space="0" w:color="auto"/>
      </w:divBdr>
    </w:div>
    <w:div w:id="1077361963">
      <w:bodyDiv w:val="1"/>
      <w:marLeft w:val="0"/>
      <w:marRight w:val="0"/>
      <w:marTop w:val="0"/>
      <w:marBottom w:val="0"/>
      <w:divBdr>
        <w:top w:val="none" w:sz="0" w:space="0" w:color="auto"/>
        <w:left w:val="none" w:sz="0" w:space="0" w:color="auto"/>
        <w:bottom w:val="none" w:sz="0" w:space="0" w:color="auto"/>
        <w:right w:val="none" w:sz="0" w:space="0" w:color="auto"/>
      </w:divBdr>
    </w:div>
    <w:div w:id="1159810147">
      <w:bodyDiv w:val="1"/>
      <w:marLeft w:val="0"/>
      <w:marRight w:val="0"/>
      <w:marTop w:val="0"/>
      <w:marBottom w:val="0"/>
      <w:divBdr>
        <w:top w:val="none" w:sz="0" w:space="0" w:color="auto"/>
        <w:left w:val="none" w:sz="0" w:space="0" w:color="auto"/>
        <w:bottom w:val="none" w:sz="0" w:space="0" w:color="auto"/>
        <w:right w:val="none" w:sz="0" w:space="0" w:color="auto"/>
      </w:divBdr>
    </w:div>
    <w:div w:id="1164903924">
      <w:bodyDiv w:val="1"/>
      <w:marLeft w:val="0"/>
      <w:marRight w:val="0"/>
      <w:marTop w:val="0"/>
      <w:marBottom w:val="0"/>
      <w:divBdr>
        <w:top w:val="none" w:sz="0" w:space="0" w:color="auto"/>
        <w:left w:val="none" w:sz="0" w:space="0" w:color="auto"/>
        <w:bottom w:val="none" w:sz="0" w:space="0" w:color="auto"/>
        <w:right w:val="none" w:sz="0" w:space="0" w:color="auto"/>
      </w:divBdr>
    </w:div>
    <w:div w:id="1188711412">
      <w:bodyDiv w:val="1"/>
      <w:marLeft w:val="0"/>
      <w:marRight w:val="0"/>
      <w:marTop w:val="0"/>
      <w:marBottom w:val="0"/>
      <w:divBdr>
        <w:top w:val="none" w:sz="0" w:space="0" w:color="auto"/>
        <w:left w:val="none" w:sz="0" w:space="0" w:color="auto"/>
        <w:bottom w:val="none" w:sz="0" w:space="0" w:color="auto"/>
        <w:right w:val="none" w:sz="0" w:space="0" w:color="auto"/>
      </w:divBdr>
    </w:div>
    <w:div w:id="1208831688">
      <w:bodyDiv w:val="1"/>
      <w:marLeft w:val="0"/>
      <w:marRight w:val="0"/>
      <w:marTop w:val="0"/>
      <w:marBottom w:val="0"/>
      <w:divBdr>
        <w:top w:val="none" w:sz="0" w:space="0" w:color="auto"/>
        <w:left w:val="none" w:sz="0" w:space="0" w:color="auto"/>
        <w:bottom w:val="none" w:sz="0" w:space="0" w:color="auto"/>
        <w:right w:val="none" w:sz="0" w:space="0" w:color="auto"/>
      </w:divBdr>
    </w:div>
    <w:div w:id="1265724222">
      <w:bodyDiv w:val="1"/>
      <w:marLeft w:val="0"/>
      <w:marRight w:val="0"/>
      <w:marTop w:val="0"/>
      <w:marBottom w:val="0"/>
      <w:divBdr>
        <w:top w:val="none" w:sz="0" w:space="0" w:color="auto"/>
        <w:left w:val="none" w:sz="0" w:space="0" w:color="auto"/>
        <w:bottom w:val="none" w:sz="0" w:space="0" w:color="auto"/>
        <w:right w:val="none" w:sz="0" w:space="0" w:color="auto"/>
      </w:divBdr>
    </w:div>
    <w:div w:id="1294605359">
      <w:bodyDiv w:val="1"/>
      <w:marLeft w:val="0"/>
      <w:marRight w:val="0"/>
      <w:marTop w:val="0"/>
      <w:marBottom w:val="0"/>
      <w:divBdr>
        <w:top w:val="none" w:sz="0" w:space="0" w:color="auto"/>
        <w:left w:val="none" w:sz="0" w:space="0" w:color="auto"/>
        <w:bottom w:val="none" w:sz="0" w:space="0" w:color="auto"/>
        <w:right w:val="none" w:sz="0" w:space="0" w:color="auto"/>
      </w:divBdr>
    </w:div>
    <w:div w:id="1343972293">
      <w:bodyDiv w:val="1"/>
      <w:marLeft w:val="0"/>
      <w:marRight w:val="0"/>
      <w:marTop w:val="0"/>
      <w:marBottom w:val="0"/>
      <w:divBdr>
        <w:top w:val="none" w:sz="0" w:space="0" w:color="auto"/>
        <w:left w:val="none" w:sz="0" w:space="0" w:color="auto"/>
        <w:bottom w:val="none" w:sz="0" w:space="0" w:color="auto"/>
        <w:right w:val="none" w:sz="0" w:space="0" w:color="auto"/>
      </w:divBdr>
    </w:div>
    <w:div w:id="1390422968">
      <w:bodyDiv w:val="1"/>
      <w:marLeft w:val="0"/>
      <w:marRight w:val="0"/>
      <w:marTop w:val="0"/>
      <w:marBottom w:val="0"/>
      <w:divBdr>
        <w:top w:val="none" w:sz="0" w:space="0" w:color="auto"/>
        <w:left w:val="none" w:sz="0" w:space="0" w:color="auto"/>
        <w:bottom w:val="none" w:sz="0" w:space="0" w:color="auto"/>
        <w:right w:val="none" w:sz="0" w:space="0" w:color="auto"/>
      </w:divBdr>
    </w:div>
    <w:div w:id="1422483521">
      <w:bodyDiv w:val="1"/>
      <w:marLeft w:val="0"/>
      <w:marRight w:val="0"/>
      <w:marTop w:val="0"/>
      <w:marBottom w:val="0"/>
      <w:divBdr>
        <w:top w:val="none" w:sz="0" w:space="0" w:color="auto"/>
        <w:left w:val="none" w:sz="0" w:space="0" w:color="auto"/>
        <w:bottom w:val="none" w:sz="0" w:space="0" w:color="auto"/>
        <w:right w:val="none" w:sz="0" w:space="0" w:color="auto"/>
      </w:divBdr>
    </w:div>
    <w:div w:id="1456631549">
      <w:bodyDiv w:val="1"/>
      <w:marLeft w:val="0"/>
      <w:marRight w:val="0"/>
      <w:marTop w:val="0"/>
      <w:marBottom w:val="0"/>
      <w:divBdr>
        <w:top w:val="none" w:sz="0" w:space="0" w:color="auto"/>
        <w:left w:val="none" w:sz="0" w:space="0" w:color="auto"/>
        <w:bottom w:val="none" w:sz="0" w:space="0" w:color="auto"/>
        <w:right w:val="none" w:sz="0" w:space="0" w:color="auto"/>
      </w:divBdr>
    </w:div>
    <w:div w:id="1459490123">
      <w:bodyDiv w:val="1"/>
      <w:marLeft w:val="0"/>
      <w:marRight w:val="0"/>
      <w:marTop w:val="0"/>
      <w:marBottom w:val="0"/>
      <w:divBdr>
        <w:top w:val="none" w:sz="0" w:space="0" w:color="auto"/>
        <w:left w:val="none" w:sz="0" w:space="0" w:color="auto"/>
        <w:bottom w:val="none" w:sz="0" w:space="0" w:color="auto"/>
        <w:right w:val="none" w:sz="0" w:space="0" w:color="auto"/>
      </w:divBdr>
    </w:div>
    <w:div w:id="1518036457">
      <w:bodyDiv w:val="1"/>
      <w:marLeft w:val="0"/>
      <w:marRight w:val="0"/>
      <w:marTop w:val="0"/>
      <w:marBottom w:val="0"/>
      <w:divBdr>
        <w:top w:val="none" w:sz="0" w:space="0" w:color="auto"/>
        <w:left w:val="none" w:sz="0" w:space="0" w:color="auto"/>
        <w:bottom w:val="none" w:sz="0" w:space="0" w:color="auto"/>
        <w:right w:val="none" w:sz="0" w:space="0" w:color="auto"/>
      </w:divBdr>
    </w:div>
    <w:div w:id="1518421546">
      <w:bodyDiv w:val="1"/>
      <w:marLeft w:val="0"/>
      <w:marRight w:val="0"/>
      <w:marTop w:val="0"/>
      <w:marBottom w:val="0"/>
      <w:divBdr>
        <w:top w:val="none" w:sz="0" w:space="0" w:color="auto"/>
        <w:left w:val="none" w:sz="0" w:space="0" w:color="auto"/>
        <w:bottom w:val="none" w:sz="0" w:space="0" w:color="auto"/>
        <w:right w:val="none" w:sz="0" w:space="0" w:color="auto"/>
      </w:divBdr>
    </w:div>
    <w:div w:id="1556774592">
      <w:bodyDiv w:val="1"/>
      <w:marLeft w:val="0"/>
      <w:marRight w:val="0"/>
      <w:marTop w:val="0"/>
      <w:marBottom w:val="0"/>
      <w:divBdr>
        <w:top w:val="none" w:sz="0" w:space="0" w:color="auto"/>
        <w:left w:val="none" w:sz="0" w:space="0" w:color="auto"/>
        <w:bottom w:val="none" w:sz="0" w:space="0" w:color="auto"/>
        <w:right w:val="none" w:sz="0" w:space="0" w:color="auto"/>
      </w:divBdr>
    </w:div>
    <w:div w:id="1706055853">
      <w:bodyDiv w:val="1"/>
      <w:marLeft w:val="0"/>
      <w:marRight w:val="0"/>
      <w:marTop w:val="0"/>
      <w:marBottom w:val="0"/>
      <w:divBdr>
        <w:top w:val="none" w:sz="0" w:space="0" w:color="auto"/>
        <w:left w:val="none" w:sz="0" w:space="0" w:color="auto"/>
        <w:bottom w:val="none" w:sz="0" w:space="0" w:color="auto"/>
        <w:right w:val="none" w:sz="0" w:space="0" w:color="auto"/>
      </w:divBdr>
    </w:div>
    <w:div w:id="1745879608">
      <w:bodyDiv w:val="1"/>
      <w:marLeft w:val="0"/>
      <w:marRight w:val="0"/>
      <w:marTop w:val="0"/>
      <w:marBottom w:val="0"/>
      <w:divBdr>
        <w:top w:val="none" w:sz="0" w:space="0" w:color="auto"/>
        <w:left w:val="none" w:sz="0" w:space="0" w:color="auto"/>
        <w:bottom w:val="none" w:sz="0" w:space="0" w:color="auto"/>
        <w:right w:val="none" w:sz="0" w:space="0" w:color="auto"/>
      </w:divBdr>
    </w:div>
    <w:div w:id="1748725995">
      <w:bodyDiv w:val="1"/>
      <w:marLeft w:val="0"/>
      <w:marRight w:val="0"/>
      <w:marTop w:val="0"/>
      <w:marBottom w:val="0"/>
      <w:divBdr>
        <w:top w:val="none" w:sz="0" w:space="0" w:color="auto"/>
        <w:left w:val="none" w:sz="0" w:space="0" w:color="auto"/>
        <w:bottom w:val="none" w:sz="0" w:space="0" w:color="auto"/>
        <w:right w:val="none" w:sz="0" w:space="0" w:color="auto"/>
      </w:divBdr>
    </w:div>
    <w:div w:id="1799377572">
      <w:bodyDiv w:val="1"/>
      <w:marLeft w:val="0"/>
      <w:marRight w:val="0"/>
      <w:marTop w:val="0"/>
      <w:marBottom w:val="0"/>
      <w:divBdr>
        <w:top w:val="none" w:sz="0" w:space="0" w:color="auto"/>
        <w:left w:val="none" w:sz="0" w:space="0" w:color="auto"/>
        <w:bottom w:val="none" w:sz="0" w:space="0" w:color="auto"/>
        <w:right w:val="none" w:sz="0" w:space="0" w:color="auto"/>
      </w:divBdr>
    </w:div>
    <w:div w:id="1831409208">
      <w:bodyDiv w:val="1"/>
      <w:marLeft w:val="0"/>
      <w:marRight w:val="0"/>
      <w:marTop w:val="0"/>
      <w:marBottom w:val="0"/>
      <w:divBdr>
        <w:top w:val="none" w:sz="0" w:space="0" w:color="auto"/>
        <w:left w:val="none" w:sz="0" w:space="0" w:color="auto"/>
        <w:bottom w:val="none" w:sz="0" w:space="0" w:color="auto"/>
        <w:right w:val="none" w:sz="0" w:space="0" w:color="auto"/>
      </w:divBdr>
    </w:div>
    <w:div w:id="1938444471">
      <w:bodyDiv w:val="1"/>
      <w:marLeft w:val="0"/>
      <w:marRight w:val="0"/>
      <w:marTop w:val="0"/>
      <w:marBottom w:val="0"/>
      <w:divBdr>
        <w:top w:val="none" w:sz="0" w:space="0" w:color="auto"/>
        <w:left w:val="none" w:sz="0" w:space="0" w:color="auto"/>
        <w:bottom w:val="none" w:sz="0" w:space="0" w:color="auto"/>
        <w:right w:val="none" w:sz="0" w:space="0" w:color="auto"/>
      </w:divBdr>
    </w:div>
    <w:div w:id="2046370627">
      <w:bodyDiv w:val="1"/>
      <w:marLeft w:val="0"/>
      <w:marRight w:val="0"/>
      <w:marTop w:val="0"/>
      <w:marBottom w:val="0"/>
      <w:divBdr>
        <w:top w:val="none" w:sz="0" w:space="0" w:color="auto"/>
        <w:left w:val="none" w:sz="0" w:space="0" w:color="auto"/>
        <w:bottom w:val="none" w:sz="0" w:space="0" w:color="auto"/>
        <w:right w:val="none" w:sz="0" w:space="0" w:color="auto"/>
      </w:divBdr>
    </w:div>
    <w:div w:id="2060006658">
      <w:bodyDiv w:val="1"/>
      <w:marLeft w:val="0"/>
      <w:marRight w:val="0"/>
      <w:marTop w:val="0"/>
      <w:marBottom w:val="0"/>
      <w:divBdr>
        <w:top w:val="none" w:sz="0" w:space="0" w:color="auto"/>
        <w:left w:val="none" w:sz="0" w:space="0" w:color="auto"/>
        <w:bottom w:val="none" w:sz="0" w:space="0" w:color="auto"/>
        <w:right w:val="none" w:sz="0" w:space="0" w:color="auto"/>
      </w:divBdr>
    </w:div>
    <w:div w:id="208510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about-the-department/publications-articles/research-publications/statistical-paper-series" TargetMode="External"/><Relationship Id="rId3" Type="http://schemas.microsoft.com/office/2007/relationships/stylesWithEffects" Target="stylesWithEffects.xml"/><Relationship Id="rId7" Type="http://schemas.openxmlformats.org/officeDocument/2006/relationships/hyperlink" Target="http://www.data.gov.au/organization/about/department-of-social-servi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reativecommons.org/licenses/by/3.0/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comeSupportInformation@dss.gov.au?subject=Labour%20Market%20and%20Related%20Payments%20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542E-4128-466C-B6E7-93A71033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MACKAY, Jen</dc:creator>
  <cp:lastModifiedBy>MACKAY, Jen</cp:lastModifiedBy>
  <cp:revision>21</cp:revision>
  <dcterms:created xsi:type="dcterms:W3CDTF">2015-09-01T00:26:00Z</dcterms:created>
  <dcterms:modified xsi:type="dcterms:W3CDTF">2016-04-19T00:49:00Z</dcterms:modified>
</cp:coreProperties>
</file>