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BD3D" w14:textId="63A357A2" w:rsidR="00473202" w:rsidRPr="009A4007" w:rsidRDefault="1016F15F" w:rsidP="00473202">
      <w:pPr>
        <w:pStyle w:val="Heading2"/>
      </w:pPr>
      <w:r>
        <w:t>Snapshot of debt agreements as at 30 June 20</w:t>
      </w:r>
      <w:r w:rsidR="433FDB5D">
        <w:t>2</w:t>
      </w:r>
      <w:r w:rsidR="00646368">
        <w:t>3</w:t>
      </w:r>
    </w:p>
    <w:p w14:paraId="768C76BE" w14:textId="77777777" w:rsidR="00473202" w:rsidRPr="009A4007" w:rsidRDefault="00473202" w:rsidP="00473202">
      <w:pPr>
        <w:pStyle w:val="Heading3"/>
      </w:pPr>
      <w:r w:rsidRPr="009A4007">
        <w:t>Part IX debt agreements – proposal status</w:t>
      </w:r>
    </w:p>
    <w:p w14:paraId="05B44FF6" w14:textId="4D79ED40" w:rsidR="00473202" w:rsidRPr="009A4007" w:rsidRDefault="1016F15F" w:rsidP="00473202">
      <w:r>
        <w:t xml:space="preserve">The Official Receiver </w:t>
      </w:r>
      <w:r w:rsidR="14EA238A">
        <w:t>rec</w:t>
      </w:r>
      <w:r>
        <w:t>e</w:t>
      </w:r>
      <w:r w:rsidR="0752810E">
        <w:t>ived</w:t>
      </w:r>
      <w:r>
        <w:t xml:space="preserve"> </w:t>
      </w:r>
      <w:r w:rsidR="00417F51">
        <w:t>5</w:t>
      </w:r>
      <w:r w:rsidR="433FDB5D">
        <w:t>,</w:t>
      </w:r>
      <w:r w:rsidR="6727D083">
        <w:t>2</w:t>
      </w:r>
      <w:r w:rsidR="00417F51">
        <w:t>76</w:t>
      </w:r>
      <w:r>
        <w:t xml:space="preserve"> debt agreement proposals in 20</w:t>
      </w:r>
      <w:r w:rsidR="433FDB5D">
        <w:t>2</w:t>
      </w:r>
      <w:r w:rsidR="00417F51">
        <w:t>2</w:t>
      </w:r>
      <w:r>
        <w:t>–</w:t>
      </w:r>
      <w:r w:rsidR="433FDB5D">
        <w:t>2</w:t>
      </w:r>
      <w:r w:rsidR="00417F51">
        <w:t>3</w:t>
      </w:r>
      <w:r>
        <w:t>. On 30 June 20</w:t>
      </w:r>
      <w:r w:rsidR="433FDB5D">
        <w:t>2</w:t>
      </w:r>
      <w:r w:rsidR="00417F51">
        <w:t>3</w:t>
      </w:r>
      <w:r>
        <w:t xml:space="preserve">, creditors had </w:t>
      </w:r>
      <w:r w:rsidR="00421380">
        <w:t>accepted</w:t>
      </w:r>
      <w:r w:rsidR="1957FCB2">
        <w:t xml:space="preserve"> </w:t>
      </w:r>
      <w:r w:rsidR="004C0D2E">
        <w:t>4</w:t>
      </w:r>
      <w:r w:rsidR="1957FCB2">
        <w:t>,</w:t>
      </w:r>
      <w:r w:rsidR="004C0D2E">
        <w:t>117</w:t>
      </w:r>
      <w:r>
        <w:t xml:space="preserve"> of the debt agreement proposals lodged during the year.</w:t>
      </w:r>
    </w:p>
    <w:p w14:paraId="716C55D3" w14:textId="77777777" w:rsidR="00473202" w:rsidRPr="009A4007" w:rsidRDefault="00473202" w:rsidP="00473202">
      <w:r w:rsidRPr="009A4007">
        <w:t>We report figures based on the date of lodgement of debt agreement proposals. These tables may not reconcile with figures provided in other tables or other publications.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416"/>
        <w:gridCol w:w="1416"/>
        <w:gridCol w:w="1416"/>
        <w:gridCol w:w="1416"/>
        <w:gridCol w:w="1416"/>
      </w:tblGrid>
      <w:tr w:rsidR="00552643" w:rsidRPr="00473202" w14:paraId="0440097C" w14:textId="77777777" w:rsidTr="00552643">
        <w:trPr>
          <w:trHeight w:val="278"/>
        </w:trPr>
        <w:tc>
          <w:tcPr>
            <w:tcW w:w="1095" w:type="pct"/>
            <w:tcBorders>
              <w:top w:val="single" w:sz="4" w:space="0" w:color="auto"/>
              <w:left w:val="single" w:sz="4" w:space="0" w:color="auto"/>
              <w:bottom w:val="single" w:sz="4" w:space="0" w:color="auto"/>
              <w:right w:val="single" w:sz="4" w:space="0" w:color="auto"/>
            </w:tcBorders>
            <w:shd w:val="clear" w:color="auto" w:fill="auto"/>
            <w:hideMark/>
          </w:tcPr>
          <w:p w14:paraId="6425681A" w14:textId="77777777" w:rsidR="00552643" w:rsidRPr="00391C09" w:rsidRDefault="00552643" w:rsidP="00552643">
            <w:pPr>
              <w:rPr>
                <w:rFonts w:ascii="Calibri" w:hAnsi="Calibri"/>
                <w:color w:val="000000"/>
              </w:rPr>
            </w:pPr>
            <w:r w:rsidRPr="00391C09">
              <w:t>Financial year</w:t>
            </w:r>
          </w:p>
        </w:tc>
        <w:tc>
          <w:tcPr>
            <w:tcW w:w="781" w:type="pct"/>
            <w:tcBorders>
              <w:top w:val="single" w:sz="4" w:space="0" w:color="auto"/>
              <w:left w:val="single" w:sz="4" w:space="0" w:color="auto"/>
              <w:bottom w:val="single" w:sz="4" w:space="0" w:color="auto"/>
              <w:right w:val="single" w:sz="4" w:space="0" w:color="auto"/>
            </w:tcBorders>
          </w:tcPr>
          <w:p w14:paraId="74953279" w14:textId="1AF85362" w:rsidR="00552643" w:rsidRDefault="00552643" w:rsidP="00552643">
            <w:pPr>
              <w:jc w:val="right"/>
              <w:rPr>
                <w:rFonts w:ascii="Calibri" w:hAnsi="Calibri"/>
                <w:color w:val="000000" w:themeColor="text1"/>
              </w:rPr>
            </w:pPr>
            <w:r w:rsidRPr="2E5660D0">
              <w:rPr>
                <w:rFonts w:ascii="Calibri" w:hAnsi="Calibri"/>
                <w:color w:val="000000" w:themeColor="text1"/>
              </w:rPr>
              <w:t>2018–19</w:t>
            </w:r>
          </w:p>
        </w:tc>
        <w:tc>
          <w:tcPr>
            <w:tcW w:w="781" w:type="pct"/>
            <w:tcBorders>
              <w:top w:val="single" w:sz="4" w:space="0" w:color="auto"/>
              <w:left w:val="single" w:sz="4" w:space="0" w:color="auto"/>
              <w:bottom w:val="single" w:sz="4" w:space="0" w:color="auto"/>
              <w:right w:val="single" w:sz="4" w:space="0" w:color="auto"/>
            </w:tcBorders>
          </w:tcPr>
          <w:p w14:paraId="7CA127A9" w14:textId="77A98842" w:rsidR="00552643" w:rsidRDefault="00552643" w:rsidP="00552643">
            <w:pPr>
              <w:jc w:val="right"/>
              <w:rPr>
                <w:rFonts w:ascii="Calibri" w:hAnsi="Calibri"/>
                <w:color w:val="000000" w:themeColor="text1"/>
              </w:rPr>
            </w:pPr>
            <w:r>
              <w:t>2019–20</w:t>
            </w:r>
          </w:p>
        </w:tc>
        <w:tc>
          <w:tcPr>
            <w:tcW w:w="781" w:type="pct"/>
            <w:tcBorders>
              <w:top w:val="single" w:sz="4" w:space="0" w:color="auto"/>
              <w:left w:val="single" w:sz="4" w:space="0" w:color="auto"/>
              <w:bottom w:val="single" w:sz="4" w:space="0" w:color="auto"/>
              <w:right w:val="single" w:sz="4" w:space="0" w:color="auto"/>
            </w:tcBorders>
          </w:tcPr>
          <w:p w14:paraId="7AEFC5BA" w14:textId="6B19F0FA" w:rsidR="00552643" w:rsidRDefault="00552643" w:rsidP="00552643">
            <w:pPr>
              <w:jc w:val="right"/>
              <w:rPr>
                <w:rFonts w:ascii="Calibri" w:hAnsi="Calibri"/>
                <w:color w:val="000000" w:themeColor="text1"/>
              </w:rPr>
            </w:pPr>
            <w:r w:rsidRPr="2E5660D0">
              <w:rPr>
                <w:rFonts w:ascii="Calibri" w:hAnsi="Calibri"/>
                <w:color w:val="000000" w:themeColor="text1"/>
              </w:rPr>
              <w:t>2020–21</w:t>
            </w:r>
          </w:p>
        </w:tc>
        <w:tc>
          <w:tcPr>
            <w:tcW w:w="781" w:type="pct"/>
            <w:tcBorders>
              <w:top w:val="single" w:sz="4" w:space="0" w:color="auto"/>
              <w:left w:val="single" w:sz="4" w:space="0" w:color="auto"/>
              <w:bottom w:val="single" w:sz="4" w:space="0" w:color="auto"/>
              <w:right w:val="single" w:sz="4" w:space="0" w:color="auto"/>
            </w:tcBorders>
          </w:tcPr>
          <w:p w14:paraId="57EBE958" w14:textId="44DA22B0" w:rsidR="00552643" w:rsidRDefault="00552643" w:rsidP="00552643">
            <w:pPr>
              <w:jc w:val="right"/>
              <w:rPr>
                <w:rFonts w:ascii="Calibri" w:hAnsi="Calibri"/>
                <w:color w:val="000000" w:themeColor="text1"/>
              </w:rPr>
            </w:pPr>
            <w:r w:rsidRPr="2E5660D0">
              <w:rPr>
                <w:rFonts w:ascii="Calibri" w:hAnsi="Calibri"/>
                <w:color w:val="000000" w:themeColor="text1"/>
              </w:rPr>
              <w:t>2021–22</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0672FC27" w14:textId="7F77D553" w:rsidR="00552643" w:rsidRPr="00391C09" w:rsidRDefault="00552643" w:rsidP="00552643">
            <w:pPr>
              <w:jc w:val="right"/>
              <w:rPr>
                <w:rFonts w:ascii="Calibri" w:hAnsi="Calibri"/>
                <w:color w:val="000000"/>
              </w:rPr>
            </w:pPr>
            <w:r w:rsidRPr="2E5660D0">
              <w:rPr>
                <w:rFonts w:ascii="Calibri" w:hAnsi="Calibri"/>
                <w:color w:val="000000" w:themeColor="text1"/>
              </w:rPr>
              <w:t>202</w:t>
            </w:r>
            <w:r>
              <w:rPr>
                <w:rFonts w:ascii="Calibri" w:hAnsi="Calibri"/>
                <w:color w:val="000000" w:themeColor="text1"/>
              </w:rPr>
              <w:t>2</w:t>
            </w:r>
            <w:r w:rsidRPr="2E5660D0">
              <w:rPr>
                <w:rFonts w:ascii="Calibri" w:hAnsi="Calibri"/>
                <w:color w:val="000000" w:themeColor="text1"/>
              </w:rPr>
              <w:t>–2</w:t>
            </w:r>
            <w:r>
              <w:rPr>
                <w:rFonts w:ascii="Calibri" w:hAnsi="Calibri"/>
                <w:color w:val="000000" w:themeColor="text1"/>
              </w:rPr>
              <w:t>3</w:t>
            </w:r>
          </w:p>
        </w:tc>
      </w:tr>
      <w:tr w:rsidR="00552643" w:rsidRPr="00473202" w14:paraId="52B7AEAD" w14:textId="77777777" w:rsidTr="00552643">
        <w:trPr>
          <w:trHeight w:val="1221"/>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27B89F0F" w14:textId="77777777" w:rsidR="00552643" w:rsidRPr="00391C09" w:rsidRDefault="00552643" w:rsidP="00552643">
            <w:pPr>
              <w:rPr>
                <w:rFonts w:ascii="Calibri" w:hAnsi="Calibri"/>
                <w:color w:val="000000"/>
              </w:rPr>
            </w:pPr>
            <w:r w:rsidRPr="00391C09">
              <w:t>Number of proposals given to the Official Receiver</w:t>
            </w:r>
          </w:p>
        </w:tc>
        <w:tc>
          <w:tcPr>
            <w:tcW w:w="781" w:type="pct"/>
            <w:tcBorders>
              <w:top w:val="single" w:sz="4" w:space="0" w:color="auto"/>
              <w:left w:val="single" w:sz="4" w:space="0" w:color="auto"/>
              <w:bottom w:val="single" w:sz="4" w:space="0" w:color="auto"/>
              <w:right w:val="single" w:sz="4" w:space="0" w:color="auto"/>
            </w:tcBorders>
          </w:tcPr>
          <w:p w14:paraId="561D15B1" w14:textId="415940D2" w:rsidR="00552643" w:rsidRDefault="00552643" w:rsidP="00552643">
            <w:pPr>
              <w:jc w:val="right"/>
              <w:rPr>
                <w:rFonts w:ascii="Calibri" w:hAnsi="Calibri"/>
                <w:color w:val="000000" w:themeColor="text1"/>
              </w:rPr>
            </w:pPr>
            <w:r w:rsidRPr="2E5660D0">
              <w:rPr>
                <w:rFonts w:ascii="Calibri" w:hAnsi="Calibri"/>
                <w:color w:val="000000" w:themeColor="text1"/>
              </w:rPr>
              <w:t>13,579</w:t>
            </w:r>
          </w:p>
        </w:tc>
        <w:tc>
          <w:tcPr>
            <w:tcW w:w="781" w:type="pct"/>
            <w:tcBorders>
              <w:top w:val="single" w:sz="4" w:space="0" w:color="auto"/>
              <w:left w:val="single" w:sz="4" w:space="0" w:color="auto"/>
              <w:bottom w:val="single" w:sz="4" w:space="0" w:color="auto"/>
              <w:right w:val="single" w:sz="4" w:space="0" w:color="auto"/>
            </w:tcBorders>
          </w:tcPr>
          <w:p w14:paraId="1807BE97" w14:textId="027F8418" w:rsidR="00552643" w:rsidRDefault="00552643" w:rsidP="00552643">
            <w:pPr>
              <w:jc w:val="right"/>
              <w:rPr>
                <w:rFonts w:ascii="Calibri" w:hAnsi="Calibri"/>
                <w:color w:val="000000" w:themeColor="text1"/>
              </w:rPr>
            </w:pPr>
            <w:r w:rsidRPr="2E5660D0">
              <w:rPr>
                <w:rFonts w:ascii="Calibri" w:hAnsi="Calibri"/>
                <w:color w:val="000000" w:themeColor="text1"/>
              </w:rPr>
              <w:t>9,461</w:t>
            </w:r>
          </w:p>
        </w:tc>
        <w:tc>
          <w:tcPr>
            <w:tcW w:w="781" w:type="pct"/>
            <w:tcBorders>
              <w:top w:val="single" w:sz="4" w:space="0" w:color="auto"/>
              <w:left w:val="single" w:sz="4" w:space="0" w:color="auto"/>
              <w:bottom w:val="single" w:sz="4" w:space="0" w:color="auto"/>
              <w:right w:val="single" w:sz="4" w:space="0" w:color="auto"/>
            </w:tcBorders>
          </w:tcPr>
          <w:p w14:paraId="1E1C9B64" w14:textId="72140D40" w:rsidR="00552643" w:rsidRDefault="00552643" w:rsidP="00552643">
            <w:pPr>
              <w:jc w:val="right"/>
              <w:rPr>
                <w:rFonts w:ascii="Calibri" w:hAnsi="Calibri"/>
                <w:color w:val="000000" w:themeColor="text1"/>
              </w:rPr>
            </w:pPr>
            <w:r w:rsidRPr="2E5660D0">
              <w:rPr>
                <w:rFonts w:ascii="Calibri" w:hAnsi="Calibri"/>
                <w:color w:val="000000" w:themeColor="text1"/>
              </w:rPr>
              <w:t>4,488</w:t>
            </w:r>
          </w:p>
        </w:tc>
        <w:tc>
          <w:tcPr>
            <w:tcW w:w="781" w:type="pct"/>
            <w:tcBorders>
              <w:top w:val="single" w:sz="4" w:space="0" w:color="auto"/>
              <w:left w:val="single" w:sz="4" w:space="0" w:color="auto"/>
              <w:bottom w:val="single" w:sz="4" w:space="0" w:color="auto"/>
              <w:right w:val="single" w:sz="4" w:space="0" w:color="auto"/>
            </w:tcBorders>
          </w:tcPr>
          <w:p w14:paraId="5F65B2FA" w14:textId="5BDE28E0" w:rsidR="00552643" w:rsidRDefault="00552643" w:rsidP="00552643">
            <w:pPr>
              <w:jc w:val="right"/>
              <w:rPr>
                <w:rFonts w:ascii="Calibri" w:hAnsi="Calibri"/>
                <w:color w:val="000000" w:themeColor="text1"/>
              </w:rPr>
            </w:pPr>
            <w:r w:rsidRPr="2E5660D0">
              <w:rPr>
                <w:rFonts w:ascii="Calibri" w:hAnsi="Calibri"/>
                <w:color w:val="000000" w:themeColor="text1"/>
              </w:rPr>
              <w:t>4,250</w:t>
            </w:r>
          </w:p>
        </w:tc>
        <w:tc>
          <w:tcPr>
            <w:tcW w:w="781" w:type="pct"/>
            <w:tcBorders>
              <w:top w:val="single" w:sz="4" w:space="0" w:color="auto"/>
              <w:left w:val="single" w:sz="4" w:space="0" w:color="auto"/>
              <w:bottom w:val="single" w:sz="4" w:space="0" w:color="auto"/>
              <w:right w:val="single" w:sz="4" w:space="0" w:color="auto"/>
            </w:tcBorders>
            <w:shd w:val="clear" w:color="auto" w:fill="auto"/>
            <w:noWrap/>
          </w:tcPr>
          <w:p w14:paraId="7DF8F40E" w14:textId="3027B10B" w:rsidR="00552643" w:rsidRPr="00391C09" w:rsidRDefault="003F7066" w:rsidP="00552643">
            <w:pPr>
              <w:jc w:val="right"/>
              <w:rPr>
                <w:rFonts w:ascii="Calibri" w:hAnsi="Calibri"/>
                <w:color w:val="000000"/>
              </w:rPr>
            </w:pPr>
            <w:r>
              <w:rPr>
                <w:rFonts w:ascii="Calibri" w:hAnsi="Calibri"/>
                <w:color w:val="000000" w:themeColor="text1"/>
              </w:rPr>
              <w:t>5</w:t>
            </w:r>
            <w:r w:rsidR="00552643" w:rsidRPr="2E5660D0">
              <w:rPr>
                <w:rFonts w:ascii="Calibri" w:hAnsi="Calibri"/>
                <w:color w:val="000000" w:themeColor="text1"/>
              </w:rPr>
              <w:t>,2</w:t>
            </w:r>
            <w:r>
              <w:rPr>
                <w:rFonts w:ascii="Calibri" w:hAnsi="Calibri"/>
                <w:color w:val="000000" w:themeColor="text1"/>
              </w:rPr>
              <w:t>76</w:t>
            </w:r>
          </w:p>
        </w:tc>
      </w:tr>
      <w:tr w:rsidR="00552643" w:rsidRPr="00473202" w14:paraId="124A54FE" w14:textId="77777777" w:rsidTr="00552643">
        <w:trPr>
          <w:trHeight w:val="206"/>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6BB50AC5" w14:textId="77777777" w:rsidR="00552643" w:rsidRPr="00391C09" w:rsidRDefault="00552643" w:rsidP="00552643">
            <w:pPr>
              <w:rPr>
                <w:rFonts w:ascii="Calibri" w:hAnsi="Calibri"/>
                <w:color w:val="000000"/>
              </w:rPr>
            </w:pPr>
            <w:r w:rsidRPr="00391C09">
              <w:t>Number rejected by the Official Receiver</w:t>
            </w:r>
          </w:p>
        </w:tc>
        <w:tc>
          <w:tcPr>
            <w:tcW w:w="781" w:type="pct"/>
            <w:tcBorders>
              <w:top w:val="single" w:sz="4" w:space="0" w:color="auto"/>
              <w:left w:val="single" w:sz="4" w:space="0" w:color="auto"/>
              <w:bottom w:val="single" w:sz="4" w:space="0" w:color="auto"/>
              <w:right w:val="single" w:sz="4" w:space="0" w:color="auto"/>
            </w:tcBorders>
          </w:tcPr>
          <w:p w14:paraId="3E0134D3" w14:textId="5B2B3DC4" w:rsidR="00552643" w:rsidRDefault="00552643" w:rsidP="00552643">
            <w:pPr>
              <w:jc w:val="right"/>
              <w:rPr>
                <w:rFonts w:ascii="Calibri" w:hAnsi="Calibri"/>
                <w:color w:val="000000" w:themeColor="text1"/>
              </w:rPr>
            </w:pPr>
            <w:r w:rsidRPr="2E5660D0">
              <w:rPr>
                <w:rFonts w:ascii="Calibri" w:hAnsi="Calibri"/>
                <w:color w:val="000000" w:themeColor="text1"/>
              </w:rPr>
              <w:t>565</w:t>
            </w:r>
          </w:p>
        </w:tc>
        <w:tc>
          <w:tcPr>
            <w:tcW w:w="781" w:type="pct"/>
            <w:tcBorders>
              <w:top w:val="single" w:sz="4" w:space="0" w:color="auto"/>
              <w:left w:val="single" w:sz="4" w:space="0" w:color="auto"/>
              <w:bottom w:val="single" w:sz="4" w:space="0" w:color="auto"/>
              <w:right w:val="single" w:sz="4" w:space="0" w:color="auto"/>
            </w:tcBorders>
          </w:tcPr>
          <w:p w14:paraId="05BD31F2" w14:textId="41419865" w:rsidR="00552643" w:rsidRDefault="00552643" w:rsidP="00552643">
            <w:pPr>
              <w:jc w:val="right"/>
              <w:rPr>
                <w:rFonts w:ascii="Calibri" w:hAnsi="Calibri"/>
                <w:color w:val="000000" w:themeColor="text1"/>
              </w:rPr>
            </w:pPr>
            <w:r w:rsidRPr="2E5660D0">
              <w:rPr>
                <w:rFonts w:ascii="Calibri" w:hAnsi="Calibri"/>
                <w:color w:val="000000" w:themeColor="text1"/>
              </w:rPr>
              <w:t>539</w:t>
            </w:r>
          </w:p>
        </w:tc>
        <w:tc>
          <w:tcPr>
            <w:tcW w:w="781" w:type="pct"/>
            <w:tcBorders>
              <w:top w:val="single" w:sz="4" w:space="0" w:color="auto"/>
              <w:left w:val="single" w:sz="4" w:space="0" w:color="auto"/>
              <w:bottom w:val="single" w:sz="4" w:space="0" w:color="auto"/>
              <w:right w:val="single" w:sz="4" w:space="0" w:color="auto"/>
            </w:tcBorders>
          </w:tcPr>
          <w:p w14:paraId="30904B36" w14:textId="2AF97346" w:rsidR="00552643" w:rsidRDefault="00552643" w:rsidP="00552643">
            <w:pPr>
              <w:jc w:val="right"/>
              <w:rPr>
                <w:rFonts w:ascii="Calibri" w:hAnsi="Calibri"/>
                <w:color w:val="000000" w:themeColor="text1"/>
              </w:rPr>
            </w:pPr>
            <w:r w:rsidRPr="2E5660D0">
              <w:rPr>
                <w:rFonts w:ascii="Calibri" w:hAnsi="Calibri"/>
                <w:color w:val="000000" w:themeColor="text1"/>
              </w:rPr>
              <w:t>337</w:t>
            </w:r>
          </w:p>
        </w:tc>
        <w:tc>
          <w:tcPr>
            <w:tcW w:w="781" w:type="pct"/>
            <w:tcBorders>
              <w:top w:val="single" w:sz="4" w:space="0" w:color="auto"/>
              <w:left w:val="single" w:sz="4" w:space="0" w:color="auto"/>
              <w:bottom w:val="single" w:sz="4" w:space="0" w:color="auto"/>
              <w:right w:val="single" w:sz="4" w:space="0" w:color="auto"/>
            </w:tcBorders>
          </w:tcPr>
          <w:p w14:paraId="402EDB3C" w14:textId="1AD4360E" w:rsidR="00552643" w:rsidRDefault="00552643" w:rsidP="00552643">
            <w:pPr>
              <w:jc w:val="right"/>
              <w:rPr>
                <w:rFonts w:ascii="Calibri" w:hAnsi="Calibri"/>
                <w:color w:val="000000" w:themeColor="text1"/>
              </w:rPr>
            </w:pPr>
            <w:r w:rsidRPr="2E5660D0">
              <w:rPr>
                <w:rFonts w:ascii="Calibri" w:hAnsi="Calibri"/>
                <w:color w:val="000000" w:themeColor="text1"/>
              </w:rPr>
              <w:t>288</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ED2A681" w14:textId="6A70F4FB" w:rsidR="00552643" w:rsidRPr="00391C09" w:rsidRDefault="00E129DF" w:rsidP="00552643">
            <w:pPr>
              <w:jc w:val="right"/>
              <w:rPr>
                <w:rFonts w:ascii="Calibri" w:hAnsi="Calibri"/>
                <w:color w:val="000000"/>
              </w:rPr>
            </w:pPr>
            <w:r>
              <w:rPr>
                <w:rFonts w:ascii="Calibri" w:hAnsi="Calibri"/>
                <w:color w:val="000000" w:themeColor="text1"/>
              </w:rPr>
              <w:t>470</w:t>
            </w:r>
          </w:p>
        </w:tc>
      </w:tr>
      <w:tr w:rsidR="00552643" w:rsidRPr="00473202" w14:paraId="24AC9356" w14:textId="77777777" w:rsidTr="00552643">
        <w:trPr>
          <w:trHeight w:val="206"/>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48AB5B9B" w14:textId="77777777" w:rsidR="00552643" w:rsidRPr="00391C09" w:rsidRDefault="00552643" w:rsidP="00552643">
            <w:pPr>
              <w:rPr>
                <w:rFonts w:ascii="Calibri" w:hAnsi="Calibri"/>
                <w:color w:val="000000"/>
              </w:rPr>
            </w:pPr>
            <w:r w:rsidRPr="00391C09">
              <w:t>Number accepted by the Official Receiver for creditor vote</w:t>
            </w:r>
          </w:p>
        </w:tc>
        <w:tc>
          <w:tcPr>
            <w:tcW w:w="781" w:type="pct"/>
            <w:tcBorders>
              <w:top w:val="single" w:sz="4" w:space="0" w:color="auto"/>
              <w:left w:val="single" w:sz="4" w:space="0" w:color="auto"/>
              <w:bottom w:val="single" w:sz="4" w:space="0" w:color="auto"/>
              <w:right w:val="single" w:sz="4" w:space="0" w:color="auto"/>
            </w:tcBorders>
          </w:tcPr>
          <w:p w14:paraId="0D7ED9DD" w14:textId="2BFB7D4F" w:rsidR="00552643" w:rsidRDefault="00552643" w:rsidP="00552643">
            <w:pPr>
              <w:jc w:val="right"/>
              <w:rPr>
                <w:rFonts w:ascii="Calibri" w:hAnsi="Calibri"/>
                <w:color w:val="000000" w:themeColor="text1"/>
              </w:rPr>
            </w:pPr>
            <w:r w:rsidRPr="2E5660D0">
              <w:rPr>
                <w:rFonts w:ascii="Calibri" w:hAnsi="Calibri"/>
                <w:color w:val="000000" w:themeColor="text1"/>
              </w:rPr>
              <w:t>12,992</w:t>
            </w:r>
          </w:p>
        </w:tc>
        <w:tc>
          <w:tcPr>
            <w:tcW w:w="781" w:type="pct"/>
            <w:tcBorders>
              <w:top w:val="single" w:sz="4" w:space="0" w:color="auto"/>
              <w:left w:val="single" w:sz="4" w:space="0" w:color="auto"/>
              <w:bottom w:val="single" w:sz="4" w:space="0" w:color="auto"/>
              <w:right w:val="single" w:sz="4" w:space="0" w:color="auto"/>
            </w:tcBorders>
          </w:tcPr>
          <w:p w14:paraId="18BB30E9" w14:textId="11513354" w:rsidR="00552643" w:rsidRDefault="00552643" w:rsidP="00552643">
            <w:pPr>
              <w:jc w:val="right"/>
              <w:rPr>
                <w:rFonts w:ascii="Calibri" w:hAnsi="Calibri"/>
                <w:color w:val="000000" w:themeColor="text1"/>
              </w:rPr>
            </w:pPr>
            <w:r w:rsidRPr="2E5660D0">
              <w:rPr>
                <w:rFonts w:ascii="Calibri" w:hAnsi="Calibri"/>
                <w:color w:val="000000" w:themeColor="text1"/>
              </w:rPr>
              <w:t>8,908</w:t>
            </w:r>
          </w:p>
        </w:tc>
        <w:tc>
          <w:tcPr>
            <w:tcW w:w="781" w:type="pct"/>
            <w:tcBorders>
              <w:top w:val="single" w:sz="4" w:space="0" w:color="auto"/>
              <w:left w:val="single" w:sz="4" w:space="0" w:color="auto"/>
              <w:bottom w:val="single" w:sz="4" w:space="0" w:color="auto"/>
              <w:right w:val="single" w:sz="4" w:space="0" w:color="auto"/>
            </w:tcBorders>
          </w:tcPr>
          <w:p w14:paraId="45BBD4DE" w14:textId="4E949B71" w:rsidR="00552643" w:rsidRDefault="00552643" w:rsidP="00552643">
            <w:pPr>
              <w:jc w:val="right"/>
              <w:rPr>
                <w:rFonts w:ascii="Calibri" w:hAnsi="Calibri"/>
                <w:color w:val="000000" w:themeColor="text1"/>
              </w:rPr>
            </w:pPr>
            <w:r w:rsidRPr="2E5660D0">
              <w:rPr>
                <w:rFonts w:ascii="Calibri" w:hAnsi="Calibri"/>
                <w:color w:val="000000" w:themeColor="text1"/>
              </w:rPr>
              <w:t>4,143</w:t>
            </w:r>
          </w:p>
        </w:tc>
        <w:tc>
          <w:tcPr>
            <w:tcW w:w="781" w:type="pct"/>
            <w:tcBorders>
              <w:top w:val="single" w:sz="4" w:space="0" w:color="auto"/>
              <w:left w:val="single" w:sz="4" w:space="0" w:color="auto"/>
              <w:bottom w:val="single" w:sz="4" w:space="0" w:color="auto"/>
              <w:right w:val="single" w:sz="4" w:space="0" w:color="auto"/>
            </w:tcBorders>
          </w:tcPr>
          <w:p w14:paraId="7E5C6183" w14:textId="708243D7" w:rsidR="00552643" w:rsidRDefault="00552643" w:rsidP="00552643">
            <w:pPr>
              <w:jc w:val="right"/>
              <w:rPr>
                <w:rFonts w:ascii="Calibri" w:hAnsi="Calibri"/>
                <w:color w:val="000000" w:themeColor="text1"/>
              </w:rPr>
            </w:pPr>
            <w:r w:rsidRPr="2E5660D0">
              <w:rPr>
                <w:rFonts w:ascii="Calibri" w:hAnsi="Calibri"/>
                <w:color w:val="000000" w:themeColor="text1"/>
              </w:rPr>
              <w:t>3,960</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3F8677BE" w14:textId="75114F39" w:rsidR="00552643" w:rsidRPr="00391C09" w:rsidRDefault="00E129DF" w:rsidP="00552643">
            <w:pPr>
              <w:jc w:val="right"/>
              <w:rPr>
                <w:rFonts w:ascii="Calibri" w:hAnsi="Calibri"/>
                <w:color w:val="000000"/>
              </w:rPr>
            </w:pPr>
            <w:r>
              <w:rPr>
                <w:rFonts w:ascii="Calibri" w:hAnsi="Calibri"/>
                <w:color w:val="000000" w:themeColor="text1"/>
              </w:rPr>
              <w:t>4</w:t>
            </w:r>
            <w:r w:rsidR="00552643" w:rsidRPr="2E5660D0">
              <w:rPr>
                <w:rFonts w:ascii="Calibri" w:hAnsi="Calibri"/>
                <w:color w:val="000000" w:themeColor="text1"/>
              </w:rPr>
              <w:t>,</w:t>
            </w:r>
            <w:r>
              <w:rPr>
                <w:rFonts w:ascii="Calibri" w:hAnsi="Calibri"/>
                <w:color w:val="000000" w:themeColor="text1"/>
              </w:rPr>
              <w:t>80</w:t>
            </w:r>
            <w:r w:rsidR="00552643" w:rsidRPr="2E5660D0">
              <w:rPr>
                <w:rFonts w:ascii="Calibri" w:hAnsi="Calibri"/>
                <w:color w:val="000000" w:themeColor="text1"/>
              </w:rPr>
              <w:t>0</w:t>
            </w:r>
          </w:p>
        </w:tc>
      </w:tr>
      <w:tr w:rsidR="00552643" w:rsidRPr="00473202" w14:paraId="56D752EC" w14:textId="77777777" w:rsidTr="00552643">
        <w:trPr>
          <w:trHeight w:val="206"/>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0B9CFF85" w14:textId="77777777" w:rsidR="00552643" w:rsidRPr="00391C09" w:rsidRDefault="00552643" w:rsidP="00552643">
            <w:pPr>
              <w:rPr>
                <w:rFonts w:ascii="Calibri" w:hAnsi="Calibri"/>
                <w:color w:val="000000"/>
              </w:rPr>
            </w:pPr>
            <w:r w:rsidRPr="00391C09">
              <w:t>Number cancelled by the Official Receiver</w:t>
            </w:r>
          </w:p>
        </w:tc>
        <w:tc>
          <w:tcPr>
            <w:tcW w:w="781" w:type="pct"/>
            <w:tcBorders>
              <w:top w:val="single" w:sz="4" w:space="0" w:color="auto"/>
              <w:left w:val="single" w:sz="4" w:space="0" w:color="auto"/>
              <w:bottom w:val="single" w:sz="4" w:space="0" w:color="auto"/>
              <w:right w:val="single" w:sz="4" w:space="0" w:color="auto"/>
            </w:tcBorders>
          </w:tcPr>
          <w:p w14:paraId="4366D0D8" w14:textId="2D9F71F3" w:rsidR="00552643" w:rsidRDefault="00552643" w:rsidP="00552643">
            <w:pPr>
              <w:jc w:val="right"/>
              <w:rPr>
                <w:rFonts w:ascii="Calibri" w:hAnsi="Calibri"/>
                <w:color w:val="000000" w:themeColor="text1"/>
              </w:rPr>
            </w:pPr>
            <w:r w:rsidRPr="2E5660D0">
              <w:rPr>
                <w:rFonts w:ascii="Calibri" w:hAnsi="Calibri"/>
                <w:color w:val="000000" w:themeColor="text1"/>
              </w:rPr>
              <w:t>448</w:t>
            </w:r>
          </w:p>
        </w:tc>
        <w:tc>
          <w:tcPr>
            <w:tcW w:w="781" w:type="pct"/>
            <w:tcBorders>
              <w:top w:val="single" w:sz="4" w:space="0" w:color="auto"/>
              <w:left w:val="single" w:sz="4" w:space="0" w:color="auto"/>
              <w:bottom w:val="single" w:sz="4" w:space="0" w:color="auto"/>
              <w:right w:val="single" w:sz="4" w:space="0" w:color="auto"/>
            </w:tcBorders>
          </w:tcPr>
          <w:p w14:paraId="65F8054D" w14:textId="22DFA6C1" w:rsidR="00552643" w:rsidRDefault="00552643" w:rsidP="00552643">
            <w:pPr>
              <w:jc w:val="right"/>
              <w:rPr>
                <w:rFonts w:ascii="Calibri" w:hAnsi="Calibri"/>
                <w:color w:val="000000" w:themeColor="text1"/>
              </w:rPr>
            </w:pPr>
            <w:r w:rsidRPr="2E5660D0">
              <w:rPr>
                <w:rFonts w:ascii="Calibri" w:hAnsi="Calibri"/>
                <w:color w:val="000000" w:themeColor="text1"/>
              </w:rPr>
              <w:t>288</w:t>
            </w:r>
          </w:p>
        </w:tc>
        <w:tc>
          <w:tcPr>
            <w:tcW w:w="781" w:type="pct"/>
            <w:tcBorders>
              <w:top w:val="single" w:sz="4" w:space="0" w:color="auto"/>
              <w:left w:val="single" w:sz="4" w:space="0" w:color="auto"/>
              <w:bottom w:val="single" w:sz="4" w:space="0" w:color="auto"/>
              <w:right w:val="single" w:sz="4" w:space="0" w:color="auto"/>
            </w:tcBorders>
          </w:tcPr>
          <w:p w14:paraId="3AD9B027" w14:textId="038D02CB" w:rsidR="00552643" w:rsidRDefault="00552643" w:rsidP="00552643">
            <w:pPr>
              <w:jc w:val="right"/>
              <w:rPr>
                <w:rFonts w:ascii="Calibri" w:hAnsi="Calibri"/>
                <w:color w:val="000000" w:themeColor="text1"/>
              </w:rPr>
            </w:pPr>
            <w:r w:rsidRPr="2E5660D0">
              <w:rPr>
                <w:rFonts w:ascii="Calibri" w:hAnsi="Calibri"/>
                <w:color w:val="000000" w:themeColor="text1"/>
              </w:rPr>
              <w:t>133</w:t>
            </w:r>
          </w:p>
        </w:tc>
        <w:tc>
          <w:tcPr>
            <w:tcW w:w="781" w:type="pct"/>
            <w:tcBorders>
              <w:top w:val="single" w:sz="4" w:space="0" w:color="auto"/>
              <w:left w:val="single" w:sz="4" w:space="0" w:color="auto"/>
              <w:bottom w:val="single" w:sz="4" w:space="0" w:color="auto"/>
              <w:right w:val="single" w:sz="4" w:space="0" w:color="auto"/>
            </w:tcBorders>
          </w:tcPr>
          <w:p w14:paraId="29A6B5F8" w14:textId="436A674B" w:rsidR="00552643" w:rsidRDefault="00552643" w:rsidP="00552643">
            <w:pPr>
              <w:jc w:val="right"/>
              <w:rPr>
                <w:rFonts w:ascii="Calibri" w:hAnsi="Calibri"/>
                <w:color w:val="000000" w:themeColor="text1"/>
              </w:rPr>
            </w:pPr>
            <w:r w:rsidRPr="2E5660D0">
              <w:rPr>
                <w:rFonts w:ascii="Calibri" w:hAnsi="Calibri"/>
                <w:color w:val="000000" w:themeColor="text1"/>
              </w:rPr>
              <w:t>113</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5CAC3E1A" w14:textId="47ADE24A" w:rsidR="00552643" w:rsidRPr="00391C09" w:rsidRDefault="00552643" w:rsidP="00552643">
            <w:pPr>
              <w:jc w:val="right"/>
              <w:rPr>
                <w:rFonts w:ascii="Calibri" w:hAnsi="Calibri"/>
                <w:color w:val="000000"/>
              </w:rPr>
            </w:pPr>
            <w:r w:rsidRPr="2E5660D0">
              <w:rPr>
                <w:rFonts w:ascii="Calibri" w:hAnsi="Calibri"/>
                <w:color w:val="000000" w:themeColor="text1"/>
              </w:rPr>
              <w:t>11</w:t>
            </w:r>
            <w:r w:rsidR="00E129DF">
              <w:rPr>
                <w:rFonts w:ascii="Calibri" w:hAnsi="Calibri"/>
                <w:color w:val="000000" w:themeColor="text1"/>
              </w:rPr>
              <w:t>5</w:t>
            </w:r>
          </w:p>
        </w:tc>
      </w:tr>
      <w:tr w:rsidR="00552643" w:rsidRPr="00473202" w14:paraId="213DB39F" w14:textId="77777777" w:rsidTr="00552643">
        <w:trPr>
          <w:trHeight w:val="206"/>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1D94FBA8" w14:textId="77777777" w:rsidR="00552643" w:rsidRPr="00391C09" w:rsidRDefault="00552643" w:rsidP="00552643">
            <w:pPr>
              <w:rPr>
                <w:rFonts w:ascii="Calibri" w:hAnsi="Calibri"/>
                <w:color w:val="000000"/>
              </w:rPr>
            </w:pPr>
            <w:r w:rsidRPr="00391C09">
              <w:t>Number rejected by creditors or no vote received</w:t>
            </w:r>
          </w:p>
        </w:tc>
        <w:tc>
          <w:tcPr>
            <w:tcW w:w="781" w:type="pct"/>
            <w:tcBorders>
              <w:top w:val="single" w:sz="4" w:space="0" w:color="auto"/>
              <w:left w:val="single" w:sz="4" w:space="0" w:color="auto"/>
              <w:bottom w:val="single" w:sz="4" w:space="0" w:color="auto"/>
              <w:right w:val="single" w:sz="4" w:space="0" w:color="auto"/>
            </w:tcBorders>
          </w:tcPr>
          <w:p w14:paraId="568E4CB7" w14:textId="59917187" w:rsidR="00552643" w:rsidRDefault="00552643" w:rsidP="00552643">
            <w:pPr>
              <w:jc w:val="right"/>
              <w:rPr>
                <w:rFonts w:ascii="Calibri" w:hAnsi="Calibri"/>
                <w:color w:val="000000" w:themeColor="text1"/>
              </w:rPr>
            </w:pPr>
            <w:r w:rsidRPr="2E5660D0">
              <w:rPr>
                <w:rFonts w:ascii="Calibri" w:hAnsi="Calibri"/>
                <w:color w:val="000000" w:themeColor="text1"/>
              </w:rPr>
              <w:t>1,047</w:t>
            </w:r>
          </w:p>
        </w:tc>
        <w:tc>
          <w:tcPr>
            <w:tcW w:w="781" w:type="pct"/>
            <w:tcBorders>
              <w:top w:val="single" w:sz="4" w:space="0" w:color="auto"/>
              <w:left w:val="single" w:sz="4" w:space="0" w:color="auto"/>
              <w:bottom w:val="single" w:sz="4" w:space="0" w:color="auto"/>
              <w:right w:val="single" w:sz="4" w:space="0" w:color="auto"/>
            </w:tcBorders>
          </w:tcPr>
          <w:p w14:paraId="0B34A324" w14:textId="64814D7A" w:rsidR="00552643" w:rsidRDefault="00552643" w:rsidP="00552643">
            <w:pPr>
              <w:jc w:val="right"/>
              <w:rPr>
                <w:rFonts w:ascii="Calibri" w:hAnsi="Calibri"/>
                <w:color w:val="000000" w:themeColor="text1"/>
              </w:rPr>
            </w:pPr>
            <w:r w:rsidRPr="2E5660D0">
              <w:rPr>
                <w:rFonts w:ascii="Calibri" w:hAnsi="Calibri"/>
                <w:color w:val="000000" w:themeColor="text1"/>
              </w:rPr>
              <w:t>1,304</w:t>
            </w:r>
          </w:p>
        </w:tc>
        <w:tc>
          <w:tcPr>
            <w:tcW w:w="781" w:type="pct"/>
            <w:tcBorders>
              <w:top w:val="single" w:sz="4" w:space="0" w:color="auto"/>
              <w:left w:val="single" w:sz="4" w:space="0" w:color="auto"/>
              <w:bottom w:val="single" w:sz="4" w:space="0" w:color="auto"/>
              <w:right w:val="single" w:sz="4" w:space="0" w:color="auto"/>
            </w:tcBorders>
          </w:tcPr>
          <w:p w14:paraId="0B3C0687" w14:textId="66C14615" w:rsidR="00552643" w:rsidRDefault="00552643" w:rsidP="00552643">
            <w:pPr>
              <w:jc w:val="right"/>
              <w:rPr>
                <w:rFonts w:ascii="Calibri" w:hAnsi="Calibri"/>
                <w:color w:val="000000" w:themeColor="text1"/>
              </w:rPr>
            </w:pPr>
            <w:r w:rsidRPr="2E5660D0">
              <w:rPr>
                <w:rFonts w:ascii="Calibri" w:hAnsi="Calibri"/>
                <w:color w:val="000000" w:themeColor="text1"/>
              </w:rPr>
              <w:t>525</w:t>
            </w:r>
          </w:p>
        </w:tc>
        <w:tc>
          <w:tcPr>
            <w:tcW w:w="781" w:type="pct"/>
            <w:tcBorders>
              <w:top w:val="single" w:sz="4" w:space="0" w:color="auto"/>
              <w:left w:val="single" w:sz="4" w:space="0" w:color="auto"/>
              <w:bottom w:val="single" w:sz="4" w:space="0" w:color="auto"/>
              <w:right w:val="single" w:sz="4" w:space="0" w:color="auto"/>
            </w:tcBorders>
          </w:tcPr>
          <w:p w14:paraId="0BB72213" w14:textId="6A9D8A96" w:rsidR="00552643" w:rsidRDefault="00552643" w:rsidP="00552643">
            <w:pPr>
              <w:jc w:val="right"/>
              <w:rPr>
                <w:rFonts w:ascii="Calibri" w:hAnsi="Calibri"/>
                <w:color w:val="000000" w:themeColor="text1"/>
              </w:rPr>
            </w:pPr>
            <w:r w:rsidRPr="2E5660D0">
              <w:rPr>
                <w:rFonts w:ascii="Calibri" w:hAnsi="Calibri"/>
                <w:color w:val="000000" w:themeColor="text1"/>
              </w:rPr>
              <w:t>454</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175E8C6B" w14:textId="3B7FF401" w:rsidR="00552643" w:rsidRPr="00391C09" w:rsidRDefault="00621CCE" w:rsidP="00552643">
            <w:pPr>
              <w:jc w:val="right"/>
              <w:rPr>
                <w:rFonts w:ascii="Calibri" w:hAnsi="Calibri"/>
                <w:color w:val="000000"/>
              </w:rPr>
            </w:pPr>
            <w:r>
              <w:rPr>
                <w:rFonts w:ascii="Calibri" w:hAnsi="Calibri"/>
                <w:color w:val="000000" w:themeColor="text1"/>
              </w:rPr>
              <w:t>568</w:t>
            </w:r>
          </w:p>
        </w:tc>
      </w:tr>
      <w:tr w:rsidR="00552643" w:rsidRPr="00473202" w14:paraId="3DCB03CB" w14:textId="77777777" w:rsidTr="00552643">
        <w:trPr>
          <w:trHeight w:val="206"/>
        </w:trPr>
        <w:tc>
          <w:tcPr>
            <w:tcW w:w="1095" w:type="pct"/>
            <w:tcBorders>
              <w:top w:val="single" w:sz="4" w:space="0" w:color="auto"/>
              <w:left w:val="single" w:sz="4" w:space="0" w:color="auto"/>
              <w:bottom w:val="single" w:sz="4" w:space="0" w:color="auto"/>
              <w:right w:val="single" w:sz="4" w:space="0" w:color="auto"/>
            </w:tcBorders>
            <w:shd w:val="clear" w:color="auto" w:fill="auto"/>
            <w:noWrap/>
            <w:hideMark/>
          </w:tcPr>
          <w:p w14:paraId="5720B0EE" w14:textId="77777777" w:rsidR="00552643" w:rsidRPr="00391C09" w:rsidRDefault="00552643" w:rsidP="00552643">
            <w:pPr>
              <w:rPr>
                <w:rFonts w:ascii="Calibri" w:hAnsi="Calibri"/>
                <w:color w:val="000000"/>
              </w:rPr>
            </w:pPr>
            <w:r w:rsidRPr="00391C09">
              <w:t>Number of new agreements made (accepted by creditors)</w:t>
            </w:r>
          </w:p>
        </w:tc>
        <w:tc>
          <w:tcPr>
            <w:tcW w:w="781" w:type="pct"/>
            <w:tcBorders>
              <w:top w:val="single" w:sz="4" w:space="0" w:color="auto"/>
              <w:left w:val="single" w:sz="4" w:space="0" w:color="auto"/>
              <w:bottom w:val="single" w:sz="4" w:space="0" w:color="auto"/>
              <w:right w:val="single" w:sz="4" w:space="0" w:color="auto"/>
            </w:tcBorders>
          </w:tcPr>
          <w:p w14:paraId="4C38B821" w14:textId="35BA2A56" w:rsidR="00552643" w:rsidRDefault="00552643" w:rsidP="00552643">
            <w:pPr>
              <w:jc w:val="right"/>
              <w:rPr>
                <w:rFonts w:ascii="Calibri" w:hAnsi="Calibri"/>
                <w:color w:val="000000" w:themeColor="text1"/>
              </w:rPr>
            </w:pPr>
            <w:r w:rsidRPr="2E5660D0">
              <w:rPr>
                <w:rFonts w:ascii="Calibri" w:hAnsi="Calibri"/>
                <w:color w:val="000000" w:themeColor="text1"/>
              </w:rPr>
              <w:t>11,497</w:t>
            </w:r>
          </w:p>
        </w:tc>
        <w:tc>
          <w:tcPr>
            <w:tcW w:w="781" w:type="pct"/>
            <w:tcBorders>
              <w:top w:val="single" w:sz="4" w:space="0" w:color="auto"/>
              <w:left w:val="single" w:sz="4" w:space="0" w:color="auto"/>
              <w:bottom w:val="single" w:sz="4" w:space="0" w:color="auto"/>
              <w:right w:val="single" w:sz="4" w:space="0" w:color="auto"/>
            </w:tcBorders>
          </w:tcPr>
          <w:p w14:paraId="41FF0228" w14:textId="3B935B14" w:rsidR="00552643" w:rsidRDefault="00552643" w:rsidP="00552643">
            <w:pPr>
              <w:jc w:val="right"/>
              <w:rPr>
                <w:rFonts w:ascii="Calibri" w:hAnsi="Calibri"/>
                <w:color w:val="000000" w:themeColor="text1"/>
              </w:rPr>
            </w:pPr>
            <w:r w:rsidRPr="2E5660D0">
              <w:rPr>
                <w:rFonts w:ascii="Calibri" w:hAnsi="Calibri"/>
                <w:color w:val="000000" w:themeColor="text1"/>
              </w:rPr>
              <w:t>7,316</w:t>
            </w:r>
          </w:p>
        </w:tc>
        <w:tc>
          <w:tcPr>
            <w:tcW w:w="781" w:type="pct"/>
            <w:tcBorders>
              <w:top w:val="single" w:sz="4" w:space="0" w:color="auto"/>
              <w:left w:val="single" w:sz="4" w:space="0" w:color="auto"/>
              <w:bottom w:val="single" w:sz="4" w:space="0" w:color="auto"/>
              <w:right w:val="single" w:sz="4" w:space="0" w:color="auto"/>
            </w:tcBorders>
          </w:tcPr>
          <w:p w14:paraId="48F12A83" w14:textId="3DCDBDCB" w:rsidR="00552643" w:rsidRDefault="00552643" w:rsidP="00552643">
            <w:pPr>
              <w:jc w:val="right"/>
              <w:rPr>
                <w:rFonts w:ascii="Calibri" w:hAnsi="Calibri"/>
                <w:color w:val="000000" w:themeColor="text1"/>
              </w:rPr>
            </w:pPr>
            <w:r w:rsidRPr="2E5660D0">
              <w:rPr>
                <w:rFonts w:ascii="Calibri" w:hAnsi="Calibri"/>
                <w:color w:val="000000" w:themeColor="text1"/>
              </w:rPr>
              <w:t>3,485</w:t>
            </w:r>
          </w:p>
        </w:tc>
        <w:tc>
          <w:tcPr>
            <w:tcW w:w="781" w:type="pct"/>
            <w:tcBorders>
              <w:top w:val="single" w:sz="4" w:space="0" w:color="auto"/>
              <w:left w:val="single" w:sz="4" w:space="0" w:color="auto"/>
              <w:bottom w:val="single" w:sz="4" w:space="0" w:color="auto"/>
              <w:right w:val="single" w:sz="4" w:space="0" w:color="auto"/>
            </w:tcBorders>
          </w:tcPr>
          <w:p w14:paraId="161DEB86" w14:textId="5539F602" w:rsidR="00552643" w:rsidRDefault="00552643" w:rsidP="00552643">
            <w:pPr>
              <w:jc w:val="right"/>
              <w:rPr>
                <w:rFonts w:ascii="Calibri" w:hAnsi="Calibri"/>
                <w:color w:val="000000" w:themeColor="text1"/>
              </w:rPr>
            </w:pPr>
            <w:r w:rsidRPr="2E5660D0">
              <w:rPr>
                <w:rFonts w:ascii="Calibri" w:hAnsi="Calibri"/>
                <w:color w:val="000000" w:themeColor="text1"/>
              </w:rPr>
              <w:t>3,393</w:t>
            </w:r>
          </w:p>
        </w:tc>
        <w:tc>
          <w:tcPr>
            <w:tcW w:w="781" w:type="pct"/>
            <w:tcBorders>
              <w:top w:val="single" w:sz="4" w:space="0" w:color="auto"/>
              <w:left w:val="single" w:sz="4" w:space="0" w:color="auto"/>
              <w:bottom w:val="single" w:sz="4" w:space="0" w:color="auto"/>
              <w:right w:val="single" w:sz="4" w:space="0" w:color="auto"/>
            </w:tcBorders>
            <w:shd w:val="clear" w:color="auto" w:fill="auto"/>
          </w:tcPr>
          <w:p w14:paraId="0A5D712A" w14:textId="73AB2C39" w:rsidR="00552643" w:rsidRPr="00391C09" w:rsidRDefault="00621CCE" w:rsidP="00552643">
            <w:pPr>
              <w:jc w:val="right"/>
              <w:rPr>
                <w:rFonts w:ascii="Calibri" w:hAnsi="Calibri"/>
                <w:color w:val="000000"/>
              </w:rPr>
            </w:pPr>
            <w:r>
              <w:rPr>
                <w:rFonts w:ascii="Calibri" w:hAnsi="Calibri"/>
                <w:color w:val="000000" w:themeColor="text1"/>
              </w:rPr>
              <w:t>4</w:t>
            </w:r>
            <w:r w:rsidR="00552643" w:rsidRPr="2E5660D0">
              <w:rPr>
                <w:rFonts w:ascii="Calibri" w:hAnsi="Calibri"/>
                <w:color w:val="000000" w:themeColor="text1"/>
              </w:rPr>
              <w:t>,</w:t>
            </w:r>
            <w:r>
              <w:rPr>
                <w:rFonts w:ascii="Calibri" w:hAnsi="Calibri"/>
                <w:color w:val="000000" w:themeColor="text1"/>
              </w:rPr>
              <w:t>117</w:t>
            </w:r>
          </w:p>
        </w:tc>
      </w:tr>
    </w:tbl>
    <w:p w14:paraId="305D4AAE" w14:textId="77777777" w:rsidR="00473202" w:rsidRPr="009A4007" w:rsidRDefault="00473202" w:rsidP="00473202">
      <w:r w:rsidRPr="009A4007">
        <w:t>Note: Due to system changes, state data is not available. Due to changes in processing timings, systems changes and delays in status updates, these tables may not reconcile fully. We released the debt agreements online service</w:t>
      </w:r>
      <w:r w:rsidRPr="009A4007">
        <w:rPr>
          <w:lang w:val="en"/>
        </w:rPr>
        <w:t xml:space="preserve"> in January 2018.</w:t>
      </w:r>
    </w:p>
    <w:p w14:paraId="0606B714" w14:textId="77777777" w:rsidR="00473202" w:rsidRPr="00DD29E7" w:rsidRDefault="00473202" w:rsidP="00473202">
      <w:pPr>
        <w:pStyle w:val="Heading3"/>
      </w:pPr>
      <w:r w:rsidRPr="00DD29E7">
        <w:t>Part IX debt agreements – status of debt agreements</w:t>
      </w:r>
    </w:p>
    <w:p w14:paraId="4AAA20C7" w14:textId="06C9DEB5" w:rsidR="00473202" w:rsidRPr="00DD29E7" w:rsidRDefault="1016F15F" w:rsidP="00473202">
      <w:r>
        <w:t xml:space="preserve">There were </w:t>
      </w:r>
      <w:r w:rsidR="00DB3525">
        <w:t>2</w:t>
      </w:r>
      <w:r w:rsidR="6F43689E">
        <w:t>0</w:t>
      </w:r>
      <w:r w:rsidR="1957FCB2">
        <w:t>,</w:t>
      </w:r>
      <w:r w:rsidR="00DB3525">
        <w:t>305</w:t>
      </w:r>
      <w:r>
        <w:t xml:space="preserve"> debt agreements not yet completed on 30 June 20</w:t>
      </w:r>
      <w:r w:rsidR="1957FCB2">
        <w:t>2</w:t>
      </w:r>
      <w:r w:rsidR="00DB3525">
        <w:t>3</w:t>
      </w:r>
      <w:r>
        <w:t>. In 20</w:t>
      </w:r>
      <w:r w:rsidR="1957FCB2">
        <w:t>2</w:t>
      </w:r>
      <w:r w:rsidR="00DB3525">
        <w:t>2</w:t>
      </w:r>
      <w:r>
        <w:t>–</w:t>
      </w:r>
      <w:r w:rsidR="1957FCB2">
        <w:t>2</w:t>
      </w:r>
      <w:r w:rsidR="00DB3525">
        <w:t>3</w:t>
      </w:r>
      <w:r>
        <w:t xml:space="preserve">, </w:t>
      </w:r>
      <w:r w:rsidR="27E5DEF8">
        <w:t>1</w:t>
      </w:r>
      <w:r w:rsidR="00D4375C">
        <w:t>4</w:t>
      </w:r>
      <w:r w:rsidR="27E5DEF8">
        <w:t>,</w:t>
      </w:r>
      <w:r w:rsidR="00D4375C">
        <w:t>321</w:t>
      </w:r>
      <w:r>
        <w:t xml:space="preserve"> debt agreements were completed or terminated:</w:t>
      </w:r>
    </w:p>
    <w:p w14:paraId="7BB85A11" w14:textId="6E143DA7" w:rsidR="00473202" w:rsidRPr="00DD29E7" w:rsidRDefault="27E5DEF8" w:rsidP="00473202">
      <w:pPr>
        <w:pStyle w:val="ListParagraph"/>
        <w:numPr>
          <w:ilvl w:val="0"/>
          <w:numId w:val="1"/>
        </w:numPr>
      </w:pPr>
      <w:r>
        <w:t>1</w:t>
      </w:r>
      <w:r w:rsidR="0047527B">
        <w:t>2</w:t>
      </w:r>
      <w:r>
        <w:t>,</w:t>
      </w:r>
      <w:r w:rsidR="000B5D81">
        <w:t>729</w:t>
      </w:r>
      <w:r w:rsidR="1016F15F">
        <w:t xml:space="preserve"> debt agreements </w:t>
      </w:r>
      <w:proofErr w:type="gramStart"/>
      <w:r w:rsidR="1016F15F">
        <w:t>completed</w:t>
      </w:r>
      <w:proofErr w:type="gramEnd"/>
    </w:p>
    <w:p w14:paraId="6A642DF7" w14:textId="0C93929A" w:rsidR="00473202" w:rsidRPr="00DD29E7" w:rsidRDefault="000B5D81" w:rsidP="00473202">
      <w:pPr>
        <w:pStyle w:val="ListParagraph"/>
        <w:numPr>
          <w:ilvl w:val="0"/>
          <w:numId w:val="1"/>
        </w:numPr>
      </w:pPr>
      <w:r>
        <w:t>203</w:t>
      </w:r>
      <w:r w:rsidR="1016F15F">
        <w:t xml:space="preserve"> terminated by </w:t>
      </w:r>
      <w:proofErr w:type="gramStart"/>
      <w:r w:rsidR="1016F15F">
        <w:t>creditors</w:t>
      </w:r>
      <w:proofErr w:type="gramEnd"/>
    </w:p>
    <w:p w14:paraId="20445D3C" w14:textId="1093D0BE" w:rsidR="00473202" w:rsidRPr="00DD29E7" w:rsidRDefault="27E5DEF8" w:rsidP="00473202">
      <w:pPr>
        <w:pStyle w:val="ListParagraph"/>
        <w:numPr>
          <w:ilvl w:val="0"/>
          <w:numId w:val="1"/>
        </w:numPr>
      </w:pPr>
      <w:r>
        <w:t>1,</w:t>
      </w:r>
      <w:r w:rsidR="000B5D81">
        <w:t>389</w:t>
      </w:r>
      <w:r w:rsidR="1016F15F">
        <w:t xml:space="preserve"> terminated by </w:t>
      </w:r>
      <w:proofErr w:type="gramStart"/>
      <w:r w:rsidR="1016F15F">
        <w:t>six month</w:t>
      </w:r>
      <w:proofErr w:type="gramEnd"/>
      <w:r w:rsidR="1016F15F">
        <w:t xml:space="preserve"> arrears default.</w:t>
      </w:r>
    </w:p>
    <w:tbl>
      <w:tblPr>
        <w:tblStyle w:val="TableGrid"/>
        <w:tblW w:w="8937" w:type="dxa"/>
        <w:tblLook w:val="04A0" w:firstRow="1" w:lastRow="0" w:firstColumn="1" w:lastColumn="0" w:noHBand="0" w:noVBand="1"/>
      </w:tblPr>
      <w:tblGrid>
        <w:gridCol w:w="990"/>
        <w:gridCol w:w="1320"/>
        <w:gridCol w:w="1305"/>
        <w:gridCol w:w="1305"/>
        <w:gridCol w:w="1320"/>
        <w:gridCol w:w="1332"/>
        <w:gridCol w:w="1365"/>
      </w:tblGrid>
      <w:tr w:rsidR="00473202" w:rsidRPr="00DD29E7" w14:paraId="5163B8D4" w14:textId="77777777" w:rsidTr="1C5DCB60">
        <w:trPr>
          <w:trHeight w:val="300"/>
        </w:trPr>
        <w:tc>
          <w:tcPr>
            <w:tcW w:w="990" w:type="dxa"/>
            <w:noWrap/>
            <w:hideMark/>
          </w:tcPr>
          <w:p w14:paraId="79B98DFA" w14:textId="77777777"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State or territory</w:t>
            </w:r>
          </w:p>
        </w:tc>
        <w:tc>
          <w:tcPr>
            <w:tcW w:w="1320" w:type="dxa"/>
            <w:noWrap/>
            <w:hideMark/>
          </w:tcPr>
          <w:p w14:paraId="5E889F16" w14:textId="64809F64"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 xml:space="preserve">Number of agreements not yet </w:t>
            </w:r>
            <w:r w:rsidRPr="00DD29E7">
              <w:rPr>
                <w:rFonts w:ascii="Calibri" w:eastAsia="Times New Roman" w:hAnsi="Calibri" w:cs="Times New Roman"/>
                <w:color w:val="000000"/>
                <w:lang w:eastAsia="en-AU"/>
              </w:rPr>
              <w:lastRenderedPageBreak/>
              <w:t xml:space="preserve">completed </w:t>
            </w:r>
            <w:proofErr w:type="gramStart"/>
            <w:r w:rsidRPr="00DD29E7">
              <w:rPr>
                <w:rFonts w:ascii="Calibri" w:eastAsia="Times New Roman" w:hAnsi="Calibri" w:cs="Times New Roman"/>
                <w:color w:val="000000"/>
                <w:lang w:eastAsia="en-AU"/>
              </w:rPr>
              <w:t>at</w:t>
            </w:r>
            <w:proofErr w:type="gramEnd"/>
            <w:r w:rsidRPr="00DD29E7">
              <w:rPr>
                <w:rFonts w:ascii="Calibri" w:eastAsia="Times New Roman" w:hAnsi="Calibri" w:cs="Times New Roman"/>
                <w:color w:val="000000"/>
                <w:lang w:eastAsia="en-AU"/>
              </w:rPr>
              <w:t xml:space="preserve"> 1 July 20</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2</w:t>
            </w:r>
          </w:p>
        </w:tc>
        <w:tc>
          <w:tcPr>
            <w:tcW w:w="1305" w:type="dxa"/>
            <w:noWrap/>
            <w:hideMark/>
          </w:tcPr>
          <w:p w14:paraId="3A4C0528" w14:textId="7D8A7380"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 xml:space="preserve">Number of new agreements </w:t>
            </w:r>
            <w:r w:rsidRPr="00DD29E7">
              <w:rPr>
                <w:rFonts w:ascii="Calibri" w:eastAsia="Times New Roman" w:hAnsi="Calibri" w:cs="Times New Roman"/>
                <w:color w:val="000000"/>
                <w:lang w:eastAsia="en-AU"/>
              </w:rPr>
              <w:lastRenderedPageBreak/>
              <w:t>made in 20</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2</w:t>
            </w:r>
            <w:r w:rsidRPr="00DD29E7">
              <w:rPr>
                <w:rFonts w:ascii="Calibri" w:eastAsia="Times New Roman" w:hAnsi="Calibri" w:cs="Times New Roman"/>
                <w:color w:val="000000"/>
                <w:lang w:eastAsia="en-AU"/>
              </w:rPr>
              <w:t>–</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3</w:t>
            </w:r>
          </w:p>
        </w:tc>
        <w:tc>
          <w:tcPr>
            <w:tcW w:w="1305" w:type="dxa"/>
            <w:noWrap/>
            <w:hideMark/>
          </w:tcPr>
          <w:p w14:paraId="116E942B" w14:textId="556BE7E7"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 xml:space="preserve">Number of agreements </w:t>
            </w:r>
            <w:r w:rsidRPr="00DD29E7">
              <w:rPr>
                <w:rFonts w:ascii="Calibri" w:eastAsia="Times New Roman" w:hAnsi="Calibri" w:cs="Times New Roman"/>
                <w:color w:val="000000"/>
                <w:lang w:eastAsia="en-AU"/>
              </w:rPr>
              <w:lastRenderedPageBreak/>
              <w:t>completed in 20</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2</w:t>
            </w:r>
            <w:r w:rsidRPr="00DD29E7">
              <w:rPr>
                <w:rFonts w:ascii="Calibri" w:eastAsia="Times New Roman" w:hAnsi="Calibri" w:cs="Times New Roman"/>
                <w:color w:val="000000"/>
                <w:lang w:eastAsia="en-AU"/>
              </w:rPr>
              <w:t>–</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3</w:t>
            </w:r>
          </w:p>
        </w:tc>
        <w:tc>
          <w:tcPr>
            <w:tcW w:w="1320" w:type="dxa"/>
            <w:noWrap/>
            <w:hideMark/>
          </w:tcPr>
          <w:p w14:paraId="5A36F7C8" w14:textId="15C99506"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 xml:space="preserve">Number of agreements terminated </w:t>
            </w:r>
            <w:r w:rsidRPr="00DD29E7">
              <w:rPr>
                <w:rFonts w:ascii="Calibri" w:eastAsia="Times New Roman" w:hAnsi="Calibri" w:cs="Times New Roman"/>
                <w:color w:val="000000"/>
                <w:lang w:eastAsia="en-AU"/>
              </w:rPr>
              <w:lastRenderedPageBreak/>
              <w:t>by creditors in 20</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2</w:t>
            </w:r>
            <w:r w:rsidRPr="00DD29E7">
              <w:rPr>
                <w:rFonts w:ascii="Calibri" w:eastAsia="Times New Roman" w:hAnsi="Calibri" w:cs="Times New Roman"/>
                <w:color w:val="000000"/>
                <w:lang w:eastAsia="en-AU"/>
              </w:rPr>
              <w:t>–</w:t>
            </w:r>
            <w:r w:rsidR="00C33C77" w:rsidRPr="00DD29E7">
              <w:rPr>
                <w:rFonts w:ascii="Calibri" w:eastAsia="Times New Roman" w:hAnsi="Calibri" w:cs="Times New Roman"/>
                <w:color w:val="000000"/>
                <w:lang w:eastAsia="en-AU"/>
              </w:rPr>
              <w:t>2</w:t>
            </w:r>
            <w:r w:rsidR="006B52E1">
              <w:rPr>
                <w:rFonts w:ascii="Calibri" w:eastAsia="Times New Roman" w:hAnsi="Calibri" w:cs="Times New Roman"/>
                <w:color w:val="000000"/>
                <w:lang w:eastAsia="en-AU"/>
              </w:rPr>
              <w:t>3</w:t>
            </w:r>
          </w:p>
        </w:tc>
        <w:tc>
          <w:tcPr>
            <w:tcW w:w="1332" w:type="dxa"/>
            <w:noWrap/>
            <w:hideMark/>
          </w:tcPr>
          <w:p w14:paraId="09CC9C69" w14:textId="13BFAA59"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 xml:space="preserve">Number of agreements terminated </w:t>
            </w:r>
            <w:r w:rsidRPr="00DD29E7">
              <w:rPr>
                <w:rFonts w:ascii="Calibri" w:eastAsia="Times New Roman" w:hAnsi="Calibri" w:cs="Times New Roman"/>
                <w:color w:val="000000"/>
                <w:lang w:eastAsia="en-AU"/>
              </w:rPr>
              <w:lastRenderedPageBreak/>
              <w:t xml:space="preserve">by </w:t>
            </w:r>
            <w:proofErr w:type="gramStart"/>
            <w:r w:rsidRPr="00DD29E7">
              <w:rPr>
                <w:rFonts w:ascii="Calibri" w:eastAsia="Times New Roman" w:hAnsi="Calibri" w:cs="Times New Roman"/>
                <w:color w:val="000000"/>
                <w:lang w:eastAsia="en-AU"/>
              </w:rPr>
              <w:t>6 month</w:t>
            </w:r>
            <w:proofErr w:type="gramEnd"/>
            <w:r w:rsidRPr="00DD29E7">
              <w:rPr>
                <w:rFonts w:ascii="Calibri" w:eastAsia="Times New Roman" w:hAnsi="Calibri" w:cs="Times New Roman"/>
                <w:color w:val="000000"/>
                <w:lang w:eastAsia="en-AU"/>
              </w:rPr>
              <w:t xml:space="preserve"> arrears default in 20</w:t>
            </w:r>
            <w:r w:rsidR="00C33C77" w:rsidRPr="00DD29E7">
              <w:rPr>
                <w:rFonts w:ascii="Calibri" w:eastAsia="Times New Roman" w:hAnsi="Calibri" w:cs="Times New Roman"/>
                <w:color w:val="000000"/>
                <w:lang w:eastAsia="en-AU"/>
              </w:rPr>
              <w:t>2</w:t>
            </w:r>
            <w:r w:rsidR="00AE31C2">
              <w:rPr>
                <w:rFonts w:ascii="Calibri" w:eastAsia="Times New Roman" w:hAnsi="Calibri" w:cs="Times New Roman"/>
                <w:color w:val="000000"/>
                <w:lang w:eastAsia="en-AU"/>
              </w:rPr>
              <w:t>2</w:t>
            </w:r>
            <w:r w:rsidRPr="00DD29E7">
              <w:rPr>
                <w:rFonts w:ascii="Calibri" w:eastAsia="Times New Roman" w:hAnsi="Calibri" w:cs="Times New Roman"/>
                <w:color w:val="000000"/>
                <w:lang w:eastAsia="en-AU"/>
              </w:rPr>
              <w:t>–</w:t>
            </w:r>
            <w:r w:rsidR="00C33C77" w:rsidRPr="00DD29E7">
              <w:rPr>
                <w:rFonts w:ascii="Calibri" w:eastAsia="Times New Roman" w:hAnsi="Calibri" w:cs="Times New Roman"/>
                <w:color w:val="000000"/>
                <w:lang w:eastAsia="en-AU"/>
              </w:rPr>
              <w:t>2</w:t>
            </w:r>
            <w:r w:rsidR="00AE31C2">
              <w:rPr>
                <w:rFonts w:ascii="Calibri" w:eastAsia="Times New Roman" w:hAnsi="Calibri" w:cs="Times New Roman"/>
                <w:color w:val="000000"/>
                <w:lang w:eastAsia="en-AU"/>
              </w:rPr>
              <w:t>3</w:t>
            </w:r>
          </w:p>
        </w:tc>
        <w:tc>
          <w:tcPr>
            <w:tcW w:w="1365" w:type="dxa"/>
            <w:noWrap/>
            <w:hideMark/>
          </w:tcPr>
          <w:p w14:paraId="09991914" w14:textId="2B513AB7" w:rsidR="00473202" w:rsidRPr="00DD29E7" w:rsidRDefault="00473202" w:rsidP="0013172E">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 xml:space="preserve">Number of agreements not yet </w:t>
            </w:r>
            <w:r w:rsidRPr="00DD29E7">
              <w:rPr>
                <w:rFonts w:ascii="Calibri" w:eastAsia="Times New Roman" w:hAnsi="Calibri" w:cs="Times New Roman"/>
                <w:color w:val="000000"/>
                <w:lang w:eastAsia="en-AU"/>
              </w:rPr>
              <w:lastRenderedPageBreak/>
              <w:t xml:space="preserve">completed </w:t>
            </w:r>
            <w:proofErr w:type="gramStart"/>
            <w:r w:rsidRPr="00DD29E7">
              <w:rPr>
                <w:rFonts w:ascii="Calibri" w:eastAsia="Times New Roman" w:hAnsi="Calibri" w:cs="Times New Roman"/>
                <w:color w:val="000000"/>
                <w:lang w:eastAsia="en-AU"/>
              </w:rPr>
              <w:t>at</w:t>
            </w:r>
            <w:proofErr w:type="gramEnd"/>
            <w:r w:rsidRPr="00DD29E7">
              <w:rPr>
                <w:rFonts w:ascii="Calibri" w:eastAsia="Times New Roman" w:hAnsi="Calibri" w:cs="Times New Roman"/>
                <w:color w:val="000000"/>
                <w:lang w:eastAsia="en-AU"/>
              </w:rPr>
              <w:t xml:space="preserve"> 30 June 20</w:t>
            </w:r>
            <w:r w:rsidR="00C33C77" w:rsidRPr="00DD29E7">
              <w:rPr>
                <w:rFonts w:ascii="Calibri" w:eastAsia="Times New Roman" w:hAnsi="Calibri" w:cs="Times New Roman"/>
                <w:color w:val="000000"/>
                <w:lang w:eastAsia="en-AU"/>
              </w:rPr>
              <w:t>2</w:t>
            </w:r>
            <w:r w:rsidR="00AE31C2">
              <w:rPr>
                <w:rFonts w:ascii="Calibri" w:eastAsia="Times New Roman" w:hAnsi="Calibri" w:cs="Times New Roman"/>
                <w:color w:val="000000"/>
                <w:lang w:eastAsia="en-AU"/>
              </w:rPr>
              <w:t>3</w:t>
            </w:r>
          </w:p>
        </w:tc>
      </w:tr>
      <w:tr w:rsidR="006B52E1" w:rsidRPr="00DD29E7" w14:paraId="03FA275C" w14:textId="77777777" w:rsidTr="1C5DCB60">
        <w:trPr>
          <w:trHeight w:val="300"/>
        </w:trPr>
        <w:tc>
          <w:tcPr>
            <w:tcW w:w="990" w:type="dxa"/>
            <w:noWrap/>
            <w:hideMark/>
          </w:tcPr>
          <w:p w14:paraId="3ACD7D0F" w14:textId="77777777" w:rsidR="006B52E1" w:rsidRPr="00DD29E7" w:rsidRDefault="006B52E1" w:rsidP="006B52E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lastRenderedPageBreak/>
              <w:t>NSW</w:t>
            </w:r>
          </w:p>
        </w:tc>
        <w:tc>
          <w:tcPr>
            <w:tcW w:w="1320" w:type="dxa"/>
            <w:noWrap/>
          </w:tcPr>
          <w:p w14:paraId="78437B8B" w14:textId="1ABAF799" w:rsidR="006B52E1" w:rsidRPr="00DD29E7" w:rsidRDefault="006B52E1" w:rsidP="006B52E1">
            <w:pPr>
              <w:jc w:val="right"/>
              <w:rPr>
                <w:rFonts w:ascii="Calibri" w:eastAsia="Times New Roman" w:hAnsi="Calibri" w:cs="Times New Roman"/>
                <w:color w:val="000000"/>
                <w:lang w:eastAsia="en-AU"/>
              </w:rPr>
            </w:pPr>
            <w:r w:rsidRPr="007A607F">
              <w:t>9,442</w:t>
            </w:r>
          </w:p>
        </w:tc>
        <w:tc>
          <w:tcPr>
            <w:tcW w:w="1305" w:type="dxa"/>
            <w:noWrap/>
          </w:tcPr>
          <w:p w14:paraId="4FE76E31" w14:textId="103E2F6A" w:rsidR="006B52E1" w:rsidRPr="00DD29E7" w:rsidRDefault="006B52E1" w:rsidP="006B52E1">
            <w:pPr>
              <w:jc w:val="right"/>
              <w:rPr>
                <w:rFonts w:ascii="Calibri" w:eastAsia="Times New Roman" w:hAnsi="Calibri" w:cs="Times New Roman"/>
                <w:color w:val="000000"/>
                <w:lang w:eastAsia="en-AU"/>
              </w:rPr>
            </w:pPr>
            <w:r w:rsidRPr="007A607F">
              <w:t>1,186</w:t>
            </w:r>
          </w:p>
        </w:tc>
        <w:tc>
          <w:tcPr>
            <w:tcW w:w="1305" w:type="dxa"/>
            <w:noWrap/>
          </w:tcPr>
          <w:p w14:paraId="7C7B40D0" w14:textId="70ADF562" w:rsidR="006B52E1" w:rsidRPr="00DD29E7" w:rsidRDefault="006B52E1" w:rsidP="006B52E1">
            <w:pPr>
              <w:jc w:val="right"/>
              <w:rPr>
                <w:rFonts w:ascii="Calibri" w:eastAsia="Times New Roman" w:hAnsi="Calibri" w:cs="Times New Roman"/>
                <w:color w:val="000000"/>
                <w:lang w:eastAsia="en-AU"/>
              </w:rPr>
            </w:pPr>
            <w:r w:rsidRPr="007A607F">
              <w:t>3,874</w:t>
            </w:r>
          </w:p>
        </w:tc>
        <w:tc>
          <w:tcPr>
            <w:tcW w:w="1320" w:type="dxa"/>
            <w:noWrap/>
          </w:tcPr>
          <w:p w14:paraId="1F7264CC" w14:textId="411AE70D" w:rsidR="006B52E1" w:rsidRPr="00DD29E7" w:rsidRDefault="006B52E1" w:rsidP="006B52E1">
            <w:pPr>
              <w:jc w:val="right"/>
              <w:rPr>
                <w:rFonts w:ascii="Calibri" w:eastAsia="Times New Roman" w:hAnsi="Calibri" w:cs="Times New Roman"/>
                <w:color w:val="000000"/>
                <w:lang w:eastAsia="en-AU"/>
              </w:rPr>
            </w:pPr>
            <w:r w:rsidRPr="007A607F">
              <w:t>67</w:t>
            </w:r>
          </w:p>
        </w:tc>
        <w:tc>
          <w:tcPr>
            <w:tcW w:w="1332" w:type="dxa"/>
            <w:noWrap/>
          </w:tcPr>
          <w:p w14:paraId="0291BC0E" w14:textId="72D15F60" w:rsidR="006B52E1" w:rsidRPr="00DD29E7" w:rsidRDefault="006B52E1" w:rsidP="006B52E1">
            <w:pPr>
              <w:jc w:val="right"/>
              <w:rPr>
                <w:rFonts w:ascii="Calibri" w:eastAsia="Times New Roman" w:hAnsi="Calibri" w:cs="Times New Roman"/>
                <w:color w:val="000000"/>
                <w:lang w:eastAsia="en-AU"/>
              </w:rPr>
            </w:pPr>
            <w:r w:rsidRPr="007A607F">
              <w:t>498</w:t>
            </w:r>
          </w:p>
        </w:tc>
        <w:tc>
          <w:tcPr>
            <w:tcW w:w="1365" w:type="dxa"/>
            <w:noWrap/>
          </w:tcPr>
          <w:p w14:paraId="2BE825AD" w14:textId="1AD1B1EA" w:rsidR="006B52E1" w:rsidRPr="00DD29E7" w:rsidRDefault="006B52E1" w:rsidP="006B52E1">
            <w:pPr>
              <w:jc w:val="right"/>
              <w:rPr>
                <w:rFonts w:ascii="Calibri" w:eastAsia="Times New Roman" w:hAnsi="Calibri" w:cs="Times New Roman"/>
                <w:color w:val="000000"/>
                <w:lang w:eastAsia="en-AU"/>
              </w:rPr>
            </w:pPr>
            <w:r w:rsidRPr="007A607F">
              <w:t>6,189</w:t>
            </w:r>
          </w:p>
        </w:tc>
      </w:tr>
      <w:tr w:rsidR="00D11301" w:rsidRPr="00DD29E7" w14:paraId="5AE08D2B" w14:textId="77777777" w:rsidTr="1C5DCB60">
        <w:trPr>
          <w:trHeight w:val="300"/>
        </w:trPr>
        <w:tc>
          <w:tcPr>
            <w:tcW w:w="990" w:type="dxa"/>
            <w:noWrap/>
          </w:tcPr>
          <w:p w14:paraId="1BC97C55" w14:textId="68B58F17"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ACT</w:t>
            </w:r>
          </w:p>
        </w:tc>
        <w:tc>
          <w:tcPr>
            <w:tcW w:w="1320" w:type="dxa"/>
            <w:noWrap/>
          </w:tcPr>
          <w:p w14:paraId="1BB393A9" w14:textId="183F492A" w:rsidR="00D11301" w:rsidRPr="007A607F" w:rsidRDefault="00D11301" w:rsidP="00D11301">
            <w:pPr>
              <w:jc w:val="right"/>
            </w:pPr>
            <w:r w:rsidRPr="007A607F">
              <w:t>415</w:t>
            </w:r>
          </w:p>
        </w:tc>
        <w:tc>
          <w:tcPr>
            <w:tcW w:w="1305" w:type="dxa"/>
            <w:noWrap/>
          </w:tcPr>
          <w:p w14:paraId="53347882" w14:textId="4EE681A3" w:rsidR="00D11301" w:rsidRPr="007A607F" w:rsidRDefault="00D11301" w:rsidP="00D11301">
            <w:pPr>
              <w:jc w:val="right"/>
            </w:pPr>
            <w:r w:rsidRPr="007A607F">
              <w:t>48</w:t>
            </w:r>
          </w:p>
        </w:tc>
        <w:tc>
          <w:tcPr>
            <w:tcW w:w="1305" w:type="dxa"/>
            <w:noWrap/>
          </w:tcPr>
          <w:p w14:paraId="1F000352" w14:textId="7C081896" w:rsidR="00D11301" w:rsidRPr="007A607F" w:rsidRDefault="00D11301" w:rsidP="00D11301">
            <w:pPr>
              <w:jc w:val="right"/>
            </w:pPr>
            <w:r w:rsidRPr="007A607F">
              <w:t>176</w:t>
            </w:r>
          </w:p>
        </w:tc>
        <w:tc>
          <w:tcPr>
            <w:tcW w:w="1320" w:type="dxa"/>
            <w:noWrap/>
          </w:tcPr>
          <w:p w14:paraId="5E8C3070" w14:textId="5DA4328B" w:rsidR="00D11301" w:rsidRPr="007A607F" w:rsidRDefault="00D11301" w:rsidP="00D11301">
            <w:pPr>
              <w:jc w:val="right"/>
            </w:pPr>
            <w:r w:rsidRPr="007A607F">
              <w:t>2</w:t>
            </w:r>
          </w:p>
        </w:tc>
        <w:tc>
          <w:tcPr>
            <w:tcW w:w="1332" w:type="dxa"/>
            <w:noWrap/>
          </w:tcPr>
          <w:p w14:paraId="432B15C0" w14:textId="7F33E8AA" w:rsidR="00D11301" w:rsidRPr="007A607F" w:rsidRDefault="00D11301" w:rsidP="00D11301">
            <w:pPr>
              <w:jc w:val="right"/>
            </w:pPr>
            <w:r w:rsidRPr="007A607F">
              <w:t>19</w:t>
            </w:r>
          </w:p>
        </w:tc>
        <w:tc>
          <w:tcPr>
            <w:tcW w:w="1365" w:type="dxa"/>
            <w:noWrap/>
          </w:tcPr>
          <w:p w14:paraId="66EE3127" w14:textId="0571D0BA" w:rsidR="00D11301" w:rsidRPr="007A607F" w:rsidRDefault="00D11301" w:rsidP="00D11301">
            <w:pPr>
              <w:jc w:val="right"/>
            </w:pPr>
            <w:r w:rsidRPr="007A607F">
              <w:t>266</w:t>
            </w:r>
          </w:p>
        </w:tc>
      </w:tr>
      <w:tr w:rsidR="00D11301" w:rsidRPr="00DD29E7" w14:paraId="0B9C202B" w14:textId="77777777" w:rsidTr="1C5DCB60">
        <w:trPr>
          <w:trHeight w:val="300"/>
        </w:trPr>
        <w:tc>
          <w:tcPr>
            <w:tcW w:w="990" w:type="dxa"/>
            <w:noWrap/>
          </w:tcPr>
          <w:p w14:paraId="2018B531" w14:textId="6E4858E6"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V</w:t>
            </w:r>
            <w:r w:rsidR="003D5D73">
              <w:rPr>
                <w:rFonts w:ascii="Calibri" w:eastAsia="Times New Roman" w:hAnsi="Calibri" w:cs="Times New Roman"/>
                <w:color w:val="000000"/>
                <w:lang w:eastAsia="en-AU"/>
              </w:rPr>
              <w:t>ic</w:t>
            </w:r>
          </w:p>
        </w:tc>
        <w:tc>
          <w:tcPr>
            <w:tcW w:w="1320" w:type="dxa"/>
            <w:noWrap/>
          </w:tcPr>
          <w:p w14:paraId="6EEBDC4F" w14:textId="7C7E8F41" w:rsidR="00D11301" w:rsidRPr="007A607F" w:rsidRDefault="00D11301" w:rsidP="00D11301">
            <w:pPr>
              <w:jc w:val="right"/>
            </w:pPr>
            <w:r w:rsidRPr="007A607F">
              <w:t>5,434</w:t>
            </w:r>
          </w:p>
        </w:tc>
        <w:tc>
          <w:tcPr>
            <w:tcW w:w="1305" w:type="dxa"/>
            <w:noWrap/>
          </w:tcPr>
          <w:p w14:paraId="696FB5C9" w14:textId="1E4A9DB6" w:rsidR="00D11301" w:rsidRPr="007A607F" w:rsidRDefault="00D11301" w:rsidP="00D11301">
            <w:pPr>
              <w:jc w:val="right"/>
            </w:pPr>
            <w:r w:rsidRPr="007A607F">
              <w:t>733</w:t>
            </w:r>
          </w:p>
        </w:tc>
        <w:tc>
          <w:tcPr>
            <w:tcW w:w="1305" w:type="dxa"/>
            <w:noWrap/>
          </w:tcPr>
          <w:p w14:paraId="7D9DE038" w14:textId="2F91201E" w:rsidR="00D11301" w:rsidRPr="007A607F" w:rsidRDefault="00D11301" w:rsidP="00D11301">
            <w:pPr>
              <w:jc w:val="right"/>
            </w:pPr>
            <w:r w:rsidRPr="007A607F">
              <w:t>2,305</w:t>
            </w:r>
          </w:p>
        </w:tc>
        <w:tc>
          <w:tcPr>
            <w:tcW w:w="1320" w:type="dxa"/>
            <w:noWrap/>
          </w:tcPr>
          <w:p w14:paraId="2CAFBC61" w14:textId="6D89DFEF" w:rsidR="00D11301" w:rsidRPr="007A607F" w:rsidRDefault="00D11301" w:rsidP="00D11301">
            <w:pPr>
              <w:jc w:val="right"/>
            </w:pPr>
            <w:r w:rsidRPr="007A607F">
              <w:t>39</w:t>
            </w:r>
          </w:p>
        </w:tc>
        <w:tc>
          <w:tcPr>
            <w:tcW w:w="1332" w:type="dxa"/>
            <w:noWrap/>
          </w:tcPr>
          <w:p w14:paraId="6CDAAEC6" w14:textId="5D60C723" w:rsidR="00D11301" w:rsidRPr="007A607F" w:rsidRDefault="00D11301" w:rsidP="00D11301">
            <w:pPr>
              <w:jc w:val="right"/>
            </w:pPr>
            <w:r w:rsidRPr="007A607F">
              <w:t>223</w:t>
            </w:r>
          </w:p>
        </w:tc>
        <w:tc>
          <w:tcPr>
            <w:tcW w:w="1365" w:type="dxa"/>
            <w:noWrap/>
          </w:tcPr>
          <w:p w14:paraId="1C6FE475" w14:textId="64C47888" w:rsidR="00D11301" w:rsidRPr="007A607F" w:rsidRDefault="00D11301" w:rsidP="00D11301">
            <w:pPr>
              <w:jc w:val="right"/>
            </w:pPr>
            <w:r w:rsidRPr="007A607F">
              <w:t>3,600</w:t>
            </w:r>
          </w:p>
        </w:tc>
      </w:tr>
      <w:tr w:rsidR="00D11301" w:rsidRPr="00DD29E7" w14:paraId="1A602817" w14:textId="77777777" w:rsidTr="1C5DCB60">
        <w:trPr>
          <w:trHeight w:val="300"/>
        </w:trPr>
        <w:tc>
          <w:tcPr>
            <w:tcW w:w="990" w:type="dxa"/>
            <w:noWrap/>
          </w:tcPr>
          <w:p w14:paraId="629634E0" w14:textId="4A6487A0"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Q</w:t>
            </w:r>
            <w:r w:rsidR="003D5D73">
              <w:rPr>
                <w:rFonts w:ascii="Calibri" w:eastAsia="Times New Roman" w:hAnsi="Calibri" w:cs="Times New Roman"/>
                <w:color w:val="000000"/>
                <w:lang w:eastAsia="en-AU"/>
              </w:rPr>
              <w:t>ld</w:t>
            </w:r>
          </w:p>
        </w:tc>
        <w:tc>
          <w:tcPr>
            <w:tcW w:w="1320" w:type="dxa"/>
            <w:noWrap/>
          </w:tcPr>
          <w:p w14:paraId="37776073" w14:textId="257507C2" w:rsidR="00D11301" w:rsidRPr="007A607F" w:rsidRDefault="00D11301" w:rsidP="00D11301">
            <w:pPr>
              <w:jc w:val="right"/>
            </w:pPr>
            <w:r w:rsidRPr="007A607F">
              <w:t>9,041</w:t>
            </w:r>
          </w:p>
        </w:tc>
        <w:tc>
          <w:tcPr>
            <w:tcW w:w="1305" w:type="dxa"/>
            <w:noWrap/>
          </w:tcPr>
          <w:p w14:paraId="79BBE4E7" w14:textId="15B76CD4" w:rsidR="00D11301" w:rsidRPr="007A607F" w:rsidRDefault="00D11301" w:rsidP="00D11301">
            <w:pPr>
              <w:jc w:val="right"/>
            </w:pPr>
            <w:r w:rsidRPr="007A607F">
              <w:t>1,222</w:t>
            </w:r>
          </w:p>
        </w:tc>
        <w:tc>
          <w:tcPr>
            <w:tcW w:w="1305" w:type="dxa"/>
            <w:noWrap/>
          </w:tcPr>
          <w:p w14:paraId="38497CE9" w14:textId="38D6C234" w:rsidR="00D11301" w:rsidRPr="007A607F" w:rsidRDefault="00D11301" w:rsidP="00D11301">
            <w:pPr>
              <w:jc w:val="right"/>
            </w:pPr>
            <w:r w:rsidRPr="007A607F">
              <w:t>3,765</w:t>
            </w:r>
          </w:p>
        </w:tc>
        <w:tc>
          <w:tcPr>
            <w:tcW w:w="1320" w:type="dxa"/>
            <w:noWrap/>
          </w:tcPr>
          <w:p w14:paraId="7649CE62" w14:textId="21E51FC8" w:rsidR="00D11301" w:rsidRPr="007A607F" w:rsidRDefault="00D11301" w:rsidP="00D11301">
            <w:pPr>
              <w:jc w:val="right"/>
            </w:pPr>
            <w:r w:rsidRPr="007A607F">
              <w:t>36</w:t>
            </w:r>
          </w:p>
        </w:tc>
        <w:tc>
          <w:tcPr>
            <w:tcW w:w="1332" w:type="dxa"/>
            <w:noWrap/>
          </w:tcPr>
          <w:p w14:paraId="087F7A58" w14:textId="6E00FBCB" w:rsidR="00D11301" w:rsidRPr="007A607F" w:rsidRDefault="00D11301" w:rsidP="00D11301">
            <w:pPr>
              <w:jc w:val="right"/>
            </w:pPr>
            <w:r w:rsidRPr="007A607F">
              <w:t>407</w:t>
            </w:r>
          </w:p>
        </w:tc>
        <w:tc>
          <w:tcPr>
            <w:tcW w:w="1365" w:type="dxa"/>
            <w:noWrap/>
          </w:tcPr>
          <w:p w14:paraId="1D853572" w14:textId="36C8872B" w:rsidR="00D11301" w:rsidRPr="007A607F" w:rsidRDefault="00D11301" w:rsidP="00D11301">
            <w:pPr>
              <w:jc w:val="right"/>
            </w:pPr>
            <w:r w:rsidRPr="007A607F">
              <w:t>6,055</w:t>
            </w:r>
          </w:p>
        </w:tc>
      </w:tr>
      <w:tr w:rsidR="00D11301" w:rsidRPr="00DD29E7" w14:paraId="3E0D0298" w14:textId="77777777" w:rsidTr="1C5DCB60">
        <w:trPr>
          <w:trHeight w:val="300"/>
        </w:trPr>
        <w:tc>
          <w:tcPr>
            <w:tcW w:w="990" w:type="dxa"/>
            <w:noWrap/>
          </w:tcPr>
          <w:p w14:paraId="734B1D56" w14:textId="1FBB4DA2"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SA</w:t>
            </w:r>
          </w:p>
        </w:tc>
        <w:tc>
          <w:tcPr>
            <w:tcW w:w="1320" w:type="dxa"/>
            <w:noWrap/>
          </w:tcPr>
          <w:p w14:paraId="23B16C99" w14:textId="6F9E071B" w:rsidR="00D11301" w:rsidRPr="007A607F" w:rsidRDefault="00D11301" w:rsidP="00D11301">
            <w:pPr>
              <w:jc w:val="right"/>
            </w:pPr>
            <w:r w:rsidRPr="007A607F">
              <w:t>1,552</w:t>
            </w:r>
          </w:p>
        </w:tc>
        <w:tc>
          <w:tcPr>
            <w:tcW w:w="1305" w:type="dxa"/>
            <w:noWrap/>
          </w:tcPr>
          <w:p w14:paraId="689FE2E6" w14:textId="1C838D0C" w:rsidR="00D11301" w:rsidRPr="007A607F" w:rsidRDefault="00D11301" w:rsidP="00D11301">
            <w:pPr>
              <w:jc w:val="right"/>
            </w:pPr>
            <w:r w:rsidRPr="007A607F">
              <w:t>203</w:t>
            </w:r>
          </w:p>
        </w:tc>
        <w:tc>
          <w:tcPr>
            <w:tcW w:w="1305" w:type="dxa"/>
            <w:noWrap/>
          </w:tcPr>
          <w:p w14:paraId="58D09008" w14:textId="7DC6D11C" w:rsidR="00D11301" w:rsidRPr="007A607F" w:rsidRDefault="00D11301" w:rsidP="00D11301">
            <w:pPr>
              <w:jc w:val="right"/>
            </w:pPr>
            <w:r w:rsidRPr="007A607F">
              <w:t>598</w:t>
            </w:r>
          </w:p>
        </w:tc>
        <w:tc>
          <w:tcPr>
            <w:tcW w:w="1320" w:type="dxa"/>
            <w:noWrap/>
          </w:tcPr>
          <w:p w14:paraId="5432741F" w14:textId="4F511183" w:rsidR="00D11301" w:rsidRPr="007A607F" w:rsidRDefault="00D11301" w:rsidP="00D11301">
            <w:pPr>
              <w:jc w:val="right"/>
            </w:pPr>
            <w:r w:rsidRPr="007A607F">
              <w:t>13</w:t>
            </w:r>
          </w:p>
        </w:tc>
        <w:tc>
          <w:tcPr>
            <w:tcW w:w="1332" w:type="dxa"/>
            <w:noWrap/>
          </w:tcPr>
          <w:p w14:paraId="2E9DB4B6" w14:textId="7419AF9E" w:rsidR="00D11301" w:rsidRPr="007A607F" w:rsidRDefault="00D11301" w:rsidP="00D11301">
            <w:pPr>
              <w:jc w:val="right"/>
            </w:pPr>
            <w:r w:rsidRPr="007A607F">
              <w:t>60</w:t>
            </w:r>
          </w:p>
        </w:tc>
        <w:tc>
          <w:tcPr>
            <w:tcW w:w="1365" w:type="dxa"/>
            <w:noWrap/>
          </w:tcPr>
          <w:p w14:paraId="732A6FB9" w14:textId="18734938" w:rsidR="00D11301" w:rsidRPr="007A607F" w:rsidRDefault="00D11301" w:rsidP="00D11301">
            <w:pPr>
              <w:jc w:val="right"/>
            </w:pPr>
            <w:r w:rsidRPr="007A607F">
              <w:t>1,084</w:t>
            </w:r>
          </w:p>
        </w:tc>
      </w:tr>
      <w:tr w:rsidR="00D11301" w:rsidRPr="00DD29E7" w14:paraId="7E44F993" w14:textId="77777777" w:rsidTr="1C5DCB60">
        <w:trPr>
          <w:trHeight w:val="300"/>
        </w:trPr>
        <w:tc>
          <w:tcPr>
            <w:tcW w:w="990" w:type="dxa"/>
            <w:noWrap/>
            <w:hideMark/>
          </w:tcPr>
          <w:p w14:paraId="2EC49FCF" w14:textId="77777777"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NT</w:t>
            </w:r>
          </w:p>
        </w:tc>
        <w:tc>
          <w:tcPr>
            <w:tcW w:w="1320" w:type="dxa"/>
            <w:noWrap/>
          </w:tcPr>
          <w:p w14:paraId="48338232" w14:textId="03270E17" w:rsidR="00D11301" w:rsidRPr="00DD29E7" w:rsidRDefault="00D11301" w:rsidP="00D11301">
            <w:pPr>
              <w:jc w:val="right"/>
              <w:rPr>
                <w:rFonts w:ascii="Calibri" w:eastAsia="Times New Roman" w:hAnsi="Calibri" w:cs="Times New Roman"/>
                <w:color w:val="000000"/>
                <w:lang w:eastAsia="en-AU"/>
              </w:rPr>
            </w:pPr>
            <w:r w:rsidRPr="007A607F">
              <w:t>407</w:t>
            </w:r>
          </w:p>
        </w:tc>
        <w:tc>
          <w:tcPr>
            <w:tcW w:w="1305" w:type="dxa"/>
            <w:noWrap/>
          </w:tcPr>
          <w:p w14:paraId="7B168244" w14:textId="14FB7DE7" w:rsidR="00D11301" w:rsidRPr="00DD29E7" w:rsidRDefault="00D11301" w:rsidP="00D11301">
            <w:pPr>
              <w:jc w:val="right"/>
              <w:rPr>
                <w:rFonts w:ascii="Calibri" w:eastAsia="Times New Roman" w:hAnsi="Calibri" w:cs="Times New Roman"/>
                <w:color w:val="000000"/>
                <w:lang w:eastAsia="en-AU"/>
              </w:rPr>
            </w:pPr>
            <w:r w:rsidRPr="007A607F">
              <w:t>62</w:t>
            </w:r>
          </w:p>
        </w:tc>
        <w:tc>
          <w:tcPr>
            <w:tcW w:w="1305" w:type="dxa"/>
            <w:noWrap/>
          </w:tcPr>
          <w:p w14:paraId="29905D32" w14:textId="6B6EAF19" w:rsidR="00D11301" w:rsidRPr="00DD29E7" w:rsidRDefault="00D11301" w:rsidP="00D11301">
            <w:pPr>
              <w:jc w:val="right"/>
              <w:rPr>
                <w:rFonts w:ascii="Calibri" w:eastAsia="Times New Roman" w:hAnsi="Calibri" w:cs="Times New Roman"/>
                <w:color w:val="000000"/>
                <w:lang w:eastAsia="en-AU"/>
              </w:rPr>
            </w:pPr>
            <w:r w:rsidRPr="007A607F">
              <w:t>165</w:t>
            </w:r>
          </w:p>
        </w:tc>
        <w:tc>
          <w:tcPr>
            <w:tcW w:w="1320" w:type="dxa"/>
            <w:noWrap/>
          </w:tcPr>
          <w:p w14:paraId="22540F9F" w14:textId="0DD125AF" w:rsidR="00D11301" w:rsidRPr="00DD29E7" w:rsidRDefault="00D11301" w:rsidP="00D11301">
            <w:pPr>
              <w:jc w:val="right"/>
              <w:rPr>
                <w:rFonts w:ascii="Calibri" w:eastAsia="Times New Roman" w:hAnsi="Calibri" w:cs="Times New Roman"/>
                <w:color w:val="000000"/>
                <w:lang w:eastAsia="en-AU"/>
              </w:rPr>
            </w:pPr>
            <w:r w:rsidRPr="007A607F">
              <w:t>2</w:t>
            </w:r>
          </w:p>
        </w:tc>
        <w:tc>
          <w:tcPr>
            <w:tcW w:w="1332" w:type="dxa"/>
            <w:noWrap/>
          </w:tcPr>
          <w:p w14:paraId="0DE8130B" w14:textId="1C2FC72A" w:rsidR="00D11301" w:rsidRPr="00DD29E7" w:rsidRDefault="00D11301" w:rsidP="00D11301">
            <w:pPr>
              <w:jc w:val="right"/>
              <w:rPr>
                <w:rFonts w:ascii="Calibri" w:eastAsia="Times New Roman" w:hAnsi="Calibri" w:cs="Times New Roman"/>
                <w:color w:val="000000"/>
                <w:lang w:eastAsia="en-AU"/>
              </w:rPr>
            </w:pPr>
            <w:r w:rsidRPr="007A607F">
              <w:t>25</w:t>
            </w:r>
          </w:p>
        </w:tc>
        <w:tc>
          <w:tcPr>
            <w:tcW w:w="1365" w:type="dxa"/>
            <w:noWrap/>
          </w:tcPr>
          <w:p w14:paraId="1B2F3D07" w14:textId="24EF0EED" w:rsidR="00D11301" w:rsidRPr="00DD29E7" w:rsidRDefault="00D11301" w:rsidP="00D11301">
            <w:pPr>
              <w:jc w:val="right"/>
              <w:rPr>
                <w:rFonts w:ascii="Calibri" w:eastAsia="Times New Roman" w:hAnsi="Calibri" w:cs="Times New Roman"/>
                <w:color w:val="000000"/>
                <w:lang w:eastAsia="en-AU"/>
              </w:rPr>
            </w:pPr>
            <w:r w:rsidRPr="007A607F">
              <w:t>277</w:t>
            </w:r>
          </w:p>
        </w:tc>
      </w:tr>
      <w:tr w:rsidR="00D11301" w:rsidRPr="00DD29E7" w14:paraId="6FAAE9E1" w14:textId="77777777" w:rsidTr="1C5DCB60">
        <w:trPr>
          <w:trHeight w:val="300"/>
        </w:trPr>
        <w:tc>
          <w:tcPr>
            <w:tcW w:w="990" w:type="dxa"/>
            <w:noWrap/>
          </w:tcPr>
          <w:p w14:paraId="595DE1EA" w14:textId="3A6B8FFC"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WA</w:t>
            </w:r>
          </w:p>
        </w:tc>
        <w:tc>
          <w:tcPr>
            <w:tcW w:w="1320" w:type="dxa"/>
            <w:noWrap/>
          </w:tcPr>
          <w:p w14:paraId="01B0A169" w14:textId="4B7F8A3E" w:rsidR="00D11301" w:rsidRPr="007A607F" w:rsidRDefault="00D11301" w:rsidP="00D11301">
            <w:pPr>
              <w:jc w:val="right"/>
            </w:pPr>
            <w:r w:rsidRPr="007A607F">
              <w:t>3,697</w:t>
            </w:r>
          </w:p>
        </w:tc>
        <w:tc>
          <w:tcPr>
            <w:tcW w:w="1305" w:type="dxa"/>
            <w:noWrap/>
          </w:tcPr>
          <w:p w14:paraId="702CE3A0" w14:textId="76E7423D" w:rsidR="00D11301" w:rsidRPr="007A607F" w:rsidRDefault="00D11301" w:rsidP="00D11301">
            <w:pPr>
              <w:jc w:val="right"/>
            </w:pPr>
            <w:r w:rsidRPr="007A607F">
              <w:t>362</w:t>
            </w:r>
          </w:p>
        </w:tc>
        <w:tc>
          <w:tcPr>
            <w:tcW w:w="1305" w:type="dxa"/>
            <w:noWrap/>
          </w:tcPr>
          <w:p w14:paraId="052570F5" w14:textId="20E51692" w:rsidR="00D11301" w:rsidRPr="007A607F" w:rsidRDefault="00D11301" w:rsidP="00D11301">
            <w:pPr>
              <w:jc w:val="right"/>
            </w:pPr>
            <w:r w:rsidRPr="007A607F">
              <w:t>1,604</w:t>
            </w:r>
          </w:p>
        </w:tc>
        <w:tc>
          <w:tcPr>
            <w:tcW w:w="1320" w:type="dxa"/>
            <w:noWrap/>
          </w:tcPr>
          <w:p w14:paraId="086B2CEA" w14:textId="0F9FB4FC" w:rsidR="00D11301" w:rsidRPr="007A607F" w:rsidRDefault="00D11301" w:rsidP="00D11301">
            <w:pPr>
              <w:jc w:val="right"/>
            </w:pPr>
            <w:r w:rsidRPr="007A607F">
              <w:t>34</w:t>
            </w:r>
          </w:p>
        </w:tc>
        <w:tc>
          <w:tcPr>
            <w:tcW w:w="1332" w:type="dxa"/>
            <w:noWrap/>
          </w:tcPr>
          <w:p w14:paraId="12A6D28B" w14:textId="7CEEE822" w:rsidR="00D11301" w:rsidRPr="007A607F" w:rsidRDefault="00D11301" w:rsidP="00D11301">
            <w:pPr>
              <w:jc w:val="right"/>
            </w:pPr>
            <w:r w:rsidRPr="007A607F">
              <w:t>118</w:t>
            </w:r>
          </w:p>
        </w:tc>
        <w:tc>
          <w:tcPr>
            <w:tcW w:w="1365" w:type="dxa"/>
            <w:noWrap/>
          </w:tcPr>
          <w:p w14:paraId="24E7E78E" w14:textId="744C5037" w:rsidR="00D11301" w:rsidRPr="007A607F" w:rsidRDefault="00D11301" w:rsidP="00D11301">
            <w:pPr>
              <w:jc w:val="right"/>
            </w:pPr>
            <w:r w:rsidRPr="007A607F">
              <w:t>2,304</w:t>
            </w:r>
          </w:p>
        </w:tc>
      </w:tr>
      <w:tr w:rsidR="00D11301" w:rsidRPr="00DD29E7" w14:paraId="159D9912" w14:textId="77777777" w:rsidTr="00D11301">
        <w:trPr>
          <w:trHeight w:val="300"/>
        </w:trPr>
        <w:tc>
          <w:tcPr>
            <w:tcW w:w="990" w:type="dxa"/>
            <w:noWrap/>
          </w:tcPr>
          <w:p w14:paraId="372779E8" w14:textId="423A0250"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T</w:t>
            </w:r>
            <w:r w:rsidR="003D5D73">
              <w:rPr>
                <w:rFonts w:ascii="Calibri" w:eastAsia="Times New Roman" w:hAnsi="Calibri" w:cs="Times New Roman"/>
                <w:color w:val="000000"/>
                <w:lang w:eastAsia="en-AU"/>
              </w:rPr>
              <w:t>as</w:t>
            </w:r>
          </w:p>
        </w:tc>
        <w:tc>
          <w:tcPr>
            <w:tcW w:w="1320" w:type="dxa"/>
            <w:noWrap/>
          </w:tcPr>
          <w:p w14:paraId="007C9CB7" w14:textId="703D2CBF" w:rsidR="00D11301" w:rsidRPr="00DD29E7" w:rsidRDefault="00D11301" w:rsidP="00D11301">
            <w:pPr>
              <w:jc w:val="right"/>
              <w:rPr>
                <w:rFonts w:ascii="Calibri" w:eastAsia="Times New Roman" w:hAnsi="Calibri" w:cs="Times New Roman"/>
                <w:color w:val="000000"/>
                <w:lang w:eastAsia="en-AU"/>
              </w:rPr>
            </w:pPr>
            <w:r w:rsidRPr="007A607F">
              <w:t>695</w:t>
            </w:r>
          </w:p>
        </w:tc>
        <w:tc>
          <w:tcPr>
            <w:tcW w:w="1305" w:type="dxa"/>
            <w:noWrap/>
          </w:tcPr>
          <w:p w14:paraId="4794CD61" w14:textId="75EA8F86" w:rsidR="00D11301" w:rsidRPr="00DD29E7" w:rsidRDefault="00D11301" w:rsidP="00D11301">
            <w:pPr>
              <w:jc w:val="right"/>
              <w:rPr>
                <w:rFonts w:ascii="Calibri" w:eastAsia="Times New Roman" w:hAnsi="Calibri" w:cs="Times New Roman"/>
                <w:color w:val="000000"/>
                <w:lang w:eastAsia="en-AU"/>
              </w:rPr>
            </w:pPr>
            <w:r w:rsidRPr="007A607F">
              <w:t>126</w:t>
            </w:r>
          </w:p>
        </w:tc>
        <w:tc>
          <w:tcPr>
            <w:tcW w:w="1305" w:type="dxa"/>
            <w:noWrap/>
          </w:tcPr>
          <w:p w14:paraId="3297E539" w14:textId="4290F680" w:rsidR="00D11301" w:rsidRPr="00DD29E7" w:rsidRDefault="00D11301" w:rsidP="00D11301">
            <w:pPr>
              <w:jc w:val="right"/>
              <w:rPr>
                <w:rFonts w:ascii="Calibri" w:eastAsia="Times New Roman" w:hAnsi="Calibri" w:cs="Times New Roman"/>
                <w:color w:val="000000"/>
                <w:lang w:eastAsia="en-AU"/>
              </w:rPr>
            </w:pPr>
            <w:r w:rsidRPr="007A607F">
              <w:t>242</w:t>
            </w:r>
          </w:p>
        </w:tc>
        <w:tc>
          <w:tcPr>
            <w:tcW w:w="1320" w:type="dxa"/>
            <w:noWrap/>
          </w:tcPr>
          <w:p w14:paraId="084178A1" w14:textId="4E4D58DA" w:rsidR="00D11301" w:rsidRPr="00DD29E7" w:rsidRDefault="00D11301" w:rsidP="00D11301">
            <w:pPr>
              <w:jc w:val="right"/>
              <w:rPr>
                <w:rFonts w:ascii="Calibri" w:eastAsia="Times New Roman" w:hAnsi="Calibri" w:cs="Times New Roman"/>
                <w:color w:val="000000"/>
                <w:lang w:eastAsia="en-AU"/>
              </w:rPr>
            </w:pPr>
            <w:r w:rsidRPr="007A607F">
              <w:t>10</w:t>
            </w:r>
          </w:p>
        </w:tc>
        <w:tc>
          <w:tcPr>
            <w:tcW w:w="1332" w:type="dxa"/>
            <w:noWrap/>
          </w:tcPr>
          <w:p w14:paraId="52BD5F73" w14:textId="0856808F" w:rsidR="00D11301" w:rsidRPr="00DD29E7" w:rsidRDefault="00D11301" w:rsidP="00D11301">
            <w:pPr>
              <w:jc w:val="right"/>
              <w:rPr>
                <w:rFonts w:ascii="Calibri" w:eastAsia="Times New Roman" w:hAnsi="Calibri" w:cs="Times New Roman"/>
                <w:color w:val="000000"/>
                <w:lang w:eastAsia="en-AU"/>
              </w:rPr>
            </w:pPr>
            <w:r w:rsidRPr="007A607F">
              <w:t>39</w:t>
            </w:r>
          </w:p>
        </w:tc>
        <w:tc>
          <w:tcPr>
            <w:tcW w:w="1365" w:type="dxa"/>
            <w:noWrap/>
          </w:tcPr>
          <w:p w14:paraId="4603AA00" w14:textId="798EADDC" w:rsidR="00D11301" w:rsidRPr="00DD29E7" w:rsidRDefault="00D11301" w:rsidP="00D11301">
            <w:pPr>
              <w:jc w:val="right"/>
              <w:rPr>
                <w:rFonts w:ascii="Calibri" w:eastAsia="Times New Roman" w:hAnsi="Calibri" w:cs="Times New Roman"/>
                <w:color w:val="000000"/>
                <w:lang w:eastAsia="en-AU"/>
              </w:rPr>
            </w:pPr>
            <w:r w:rsidRPr="007A607F">
              <w:t>530</w:t>
            </w:r>
          </w:p>
        </w:tc>
      </w:tr>
      <w:tr w:rsidR="00D11301" w:rsidRPr="00DD29E7" w14:paraId="7039524E" w14:textId="77777777" w:rsidTr="1C5DCB60">
        <w:trPr>
          <w:trHeight w:val="300"/>
        </w:trPr>
        <w:tc>
          <w:tcPr>
            <w:tcW w:w="990" w:type="dxa"/>
            <w:noWrap/>
            <w:hideMark/>
          </w:tcPr>
          <w:p w14:paraId="74FC3CB5" w14:textId="77777777" w:rsidR="00D11301" w:rsidRPr="00DD29E7" w:rsidRDefault="00D11301" w:rsidP="00D11301">
            <w:pPr>
              <w:rPr>
                <w:rFonts w:ascii="Calibri" w:eastAsia="Times New Roman" w:hAnsi="Calibri" w:cs="Times New Roman"/>
                <w:color w:val="000000"/>
                <w:lang w:eastAsia="en-AU"/>
              </w:rPr>
            </w:pPr>
            <w:r w:rsidRPr="00DD29E7">
              <w:rPr>
                <w:rFonts w:ascii="Calibri" w:eastAsia="Times New Roman" w:hAnsi="Calibri" w:cs="Times New Roman"/>
                <w:color w:val="000000"/>
                <w:lang w:eastAsia="en-AU"/>
              </w:rPr>
              <w:t>Total</w:t>
            </w:r>
          </w:p>
        </w:tc>
        <w:tc>
          <w:tcPr>
            <w:tcW w:w="1320" w:type="dxa"/>
            <w:noWrap/>
          </w:tcPr>
          <w:p w14:paraId="0BB1E25E" w14:textId="429B1587" w:rsidR="00D11301" w:rsidRPr="00DD29E7" w:rsidRDefault="00D11301" w:rsidP="00D11301">
            <w:pPr>
              <w:jc w:val="right"/>
              <w:rPr>
                <w:rFonts w:ascii="Calibri" w:eastAsia="Times New Roman" w:hAnsi="Calibri" w:cs="Times New Roman"/>
                <w:color w:val="000000"/>
                <w:lang w:eastAsia="en-AU"/>
              </w:rPr>
            </w:pPr>
            <w:r w:rsidRPr="007A607F">
              <w:t>30,683</w:t>
            </w:r>
          </w:p>
        </w:tc>
        <w:tc>
          <w:tcPr>
            <w:tcW w:w="1305" w:type="dxa"/>
            <w:noWrap/>
          </w:tcPr>
          <w:p w14:paraId="4245F84E" w14:textId="54F0CAF4" w:rsidR="00D11301" w:rsidRPr="00DD29E7" w:rsidRDefault="00D11301" w:rsidP="00D11301">
            <w:pPr>
              <w:jc w:val="right"/>
              <w:rPr>
                <w:rFonts w:ascii="Calibri" w:eastAsia="Times New Roman" w:hAnsi="Calibri" w:cs="Times New Roman"/>
                <w:color w:val="000000"/>
                <w:lang w:eastAsia="en-AU"/>
              </w:rPr>
            </w:pPr>
            <w:r w:rsidRPr="007A607F">
              <w:t>3,942</w:t>
            </w:r>
          </w:p>
        </w:tc>
        <w:tc>
          <w:tcPr>
            <w:tcW w:w="1305" w:type="dxa"/>
            <w:noWrap/>
          </w:tcPr>
          <w:p w14:paraId="11539F1B" w14:textId="7EE27223" w:rsidR="00D11301" w:rsidRPr="00DD29E7" w:rsidRDefault="00D11301" w:rsidP="00D11301">
            <w:pPr>
              <w:jc w:val="right"/>
              <w:rPr>
                <w:rFonts w:ascii="Calibri" w:eastAsia="Times New Roman" w:hAnsi="Calibri" w:cs="Times New Roman"/>
                <w:color w:val="000000"/>
                <w:lang w:eastAsia="en-AU"/>
              </w:rPr>
            </w:pPr>
            <w:r w:rsidRPr="007A607F">
              <w:t>12,729</w:t>
            </w:r>
          </w:p>
        </w:tc>
        <w:tc>
          <w:tcPr>
            <w:tcW w:w="1320" w:type="dxa"/>
            <w:noWrap/>
          </w:tcPr>
          <w:p w14:paraId="500B8F52" w14:textId="7F1D1204" w:rsidR="00D11301" w:rsidRPr="00DD29E7" w:rsidRDefault="00D11301" w:rsidP="00D11301">
            <w:pPr>
              <w:jc w:val="right"/>
              <w:rPr>
                <w:rFonts w:ascii="Calibri" w:eastAsia="Times New Roman" w:hAnsi="Calibri" w:cs="Times New Roman"/>
                <w:color w:val="000000"/>
                <w:lang w:eastAsia="en-AU"/>
              </w:rPr>
            </w:pPr>
            <w:r w:rsidRPr="007A607F">
              <w:t>203</w:t>
            </w:r>
          </w:p>
        </w:tc>
        <w:tc>
          <w:tcPr>
            <w:tcW w:w="1332" w:type="dxa"/>
            <w:noWrap/>
          </w:tcPr>
          <w:p w14:paraId="668625B0" w14:textId="281A3CA3" w:rsidR="00D11301" w:rsidRPr="00DD29E7" w:rsidRDefault="00D11301" w:rsidP="00D11301">
            <w:pPr>
              <w:jc w:val="right"/>
              <w:rPr>
                <w:rFonts w:ascii="Calibri" w:eastAsia="Times New Roman" w:hAnsi="Calibri" w:cs="Times New Roman"/>
                <w:color w:val="000000"/>
                <w:lang w:eastAsia="en-AU"/>
              </w:rPr>
            </w:pPr>
            <w:r w:rsidRPr="007A607F">
              <w:t>1,389</w:t>
            </w:r>
          </w:p>
        </w:tc>
        <w:tc>
          <w:tcPr>
            <w:tcW w:w="1365" w:type="dxa"/>
            <w:noWrap/>
          </w:tcPr>
          <w:p w14:paraId="4360B62A" w14:textId="1B9C1934" w:rsidR="00D11301" w:rsidRPr="00DD29E7" w:rsidRDefault="00D11301" w:rsidP="00D11301">
            <w:pPr>
              <w:jc w:val="right"/>
              <w:rPr>
                <w:rFonts w:ascii="Calibri" w:eastAsia="Times New Roman" w:hAnsi="Calibri" w:cs="Times New Roman"/>
                <w:color w:val="000000"/>
                <w:lang w:eastAsia="en-AU"/>
              </w:rPr>
            </w:pPr>
            <w:r w:rsidRPr="007A607F">
              <w:t>20,305</w:t>
            </w:r>
          </w:p>
        </w:tc>
      </w:tr>
    </w:tbl>
    <w:p w14:paraId="62176D80" w14:textId="77777777" w:rsidR="00473202" w:rsidRPr="00CD70A9" w:rsidRDefault="00473202" w:rsidP="00473202">
      <w:pPr>
        <w:rPr>
          <w:highlight w:val="yellow"/>
        </w:rPr>
      </w:pPr>
      <w:r w:rsidRPr="00DD29E7">
        <w:t>Note: Due to changes in processing timings, systems changes and delays in status updates, these tables may not reconcile fully. We released the debt agreements online service</w:t>
      </w:r>
      <w:r w:rsidRPr="00DD29E7">
        <w:rPr>
          <w:lang w:val="en"/>
        </w:rPr>
        <w:t xml:space="preserve"> in January 2018.</w:t>
      </w:r>
    </w:p>
    <w:p w14:paraId="7554426D" w14:textId="77777777" w:rsidR="0013172E" w:rsidRDefault="0013172E"/>
    <w:sectPr w:rsidR="001317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0AA1" w14:textId="77777777" w:rsidR="00875CED" w:rsidRDefault="00875CED" w:rsidP="00875CED">
      <w:pPr>
        <w:spacing w:after="0" w:line="240" w:lineRule="auto"/>
      </w:pPr>
      <w:r>
        <w:separator/>
      </w:r>
    </w:p>
  </w:endnote>
  <w:endnote w:type="continuationSeparator" w:id="0">
    <w:p w14:paraId="788493DB" w14:textId="77777777" w:rsidR="00875CED" w:rsidRDefault="00875CED" w:rsidP="00875CED">
      <w:pPr>
        <w:spacing w:after="0" w:line="240" w:lineRule="auto"/>
      </w:pPr>
      <w:r>
        <w:continuationSeparator/>
      </w:r>
    </w:p>
  </w:endnote>
  <w:endnote w:type="continuationNotice" w:id="1">
    <w:p w14:paraId="7396380D" w14:textId="77777777" w:rsidR="006055A9" w:rsidRDefault="00605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5B6D" w14:textId="50564539" w:rsidR="00875CED" w:rsidRDefault="00875CED">
    <w:pPr>
      <w:pStyle w:val="Footer"/>
    </w:pPr>
    <w:r>
      <w:rPr>
        <w:noProof/>
      </w:rPr>
      <mc:AlternateContent>
        <mc:Choice Requires="wps">
          <w:drawing>
            <wp:anchor distT="0" distB="0" distL="0" distR="0" simplePos="0" relativeHeight="251658244" behindDoc="0" locked="0" layoutInCell="1" allowOverlap="1" wp14:anchorId="18AA7E2A" wp14:editId="5895A601">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2EEA6" w14:textId="6A8A596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A7E2A"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02EEA6" w14:textId="6A8A596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321E" w14:textId="40C987D4" w:rsidR="00875CED" w:rsidRDefault="00875CED">
    <w:pPr>
      <w:pStyle w:val="Footer"/>
    </w:pPr>
    <w:r>
      <w:rPr>
        <w:noProof/>
      </w:rPr>
      <mc:AlternateContent>
        <mc:Choice Requires="wps">
          <w:drawing>
            <wp:anchor distT="0" distB="0" distL="0" distR="0" simplePos="0" relativeHeight="251658245" behindDoc="0" locked="0" layoutInCell="1" allowOverlap="1" wp14:anchorId="0E6CACA2" wp14:editId="3FACD172">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7847B" w14:textId="1DC23D0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CACA2"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97847B" w14:textId="1DC23D0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93A8" w14:textId="70D47E75" w:rsidR="00875CED" w:rsidRDefault="00875CED">
    <w:pPr>
      <w:pStyle w:val="Footer"/>
    </w:pPr>
    <w:r>
      <w:rPr>
        <w:noProof/>
      </w:rPr>
      <mc:AlternateContent>
        <mc:Choice Requires="wps">
          <w:drawing>
            <wp:anchor distT="0" distB="0" distL="0" distR="0" simplePos="0" relativeHeight="251658243" behindDoc="0" locked="0" layoutInCell="1" allowOverlap="1" wp14:anchorId="23045261" wp14:editId="1E4B60C5">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A8738" w14:textId="60725C4A"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4526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F8A8738" w14:textId="60725C4A"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AA00" w14:textId="77777777" w:rsidR="00875CED" w:rsidRDefault="00875CED" w:rsidP="00875CED">
      <w:pPr>
        <w:spacing w:after="0" w:line="240" w:lineRule="auto"/>
      </w:pPr>
      <w:r>
        <w:separator/>
      </w:r>
    </w:p>
  </w:footnote>
  <w:footnote w:type="continuationSeparator" w:id="0">
    <w:p w14:paraId="5AB0335C" w14:textId="77777777" w:rsidR="00875CED" w:rsidRDefault="00875CED" w:rsidP="00875CED">
      <w:pPr>
        <w:spacing w:after="0" w:line="240" w:lineRule="auto"/>
      </w:pPr>
      <w:r>
        <w:continuationSeparator/>
      </w:r>
    </w:p>
  </w:footnote>
  <w:footnote w:type="continuationNotice" w:id="1">
    <w:p w14:paraId="42B532D1" w14:textId="77777777" w:rsidR="006055A9" w:rsidRDefault="00605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C2A1" w14:textId="18284F0A" w:rsidR="00875CED" w:rsidRDefault="00875CED">
    <w:pPr>
      <w:pStyle w:val="Header"/>
    </w:pPr>
    <w:r>
      <w:rPr>
        <w:noProof/>
      </w:rPr>
      <mc:AlternateContent>
        <mc:Choice Requires="wps">
          <w:drawing>
            <wp:anchor distT="0" distB="0" distL="0" distR="0" simplePos="0" relativeHeight="251658241" behindDoc="0" locked="0" layoutInCell="1" allowOverlap="1" wp14:anchorId="5D6CEF53" wp14:editId="2053B26C">
              <wp:simplePos x="635" y="635"/>
              <wp:positionH relativeFrom="page">
                <wp:align>center</wp:align>
              </wp:positionH>
              <wp:positionV relativeFrom="page">
                <wp:align>top</wp:align>
              </wp:positionV>
              <wp:extent cx="443865" cy="443865"/>
              <wp:effectExtent l="0" t="0" r="4445" b="133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22316" w14:textId="5798E9F1"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CEF5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BD22316" w14:textId="5798E9F1"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29BB" w14:textId="3969C73F" w:rsidR="00875CED" w:rsidRDefault="00875CED">
    <w:pPr>
      <w:pStyle w:val="Header"/>
    </w:pPr>
    <w:r>
      <w:rPr>
        <w:noProof/>
      </w:rPr>
      <mc:AlternateContent>
        <mc:Choice Requires="wps">
          <w:drawing>
            <wp:anchor distT="0" distB="0" distL="0" distR="0" simplePos="0" relativeHeight="251658242" behindDoc="0" locked="0" layoutInCell="1" allowOverlap="1" wp14:anchorId="2A0D852B" wp14:editId="440867E0">
              <wp:simplePos x="635" y="635"/>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D73B6D" w14:textId="380F7501"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0D852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CD73B6D" w14:textId="380F7501"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98B7" w14:textId="74F40F49" w:rsidR="00875CED" w:rsidRDefault="00875CED">
    <w:pPr>
      <w:pStyle w:val="Header"/>
    </w:pPr>
    <w:r>
      <w:rPr>
        <w:noProof/>
      </w:rPr>
      <mc:AlternateContent>
        <mc:Choice Requires="wps">
          <w:drawing>
            <wp:anchor distT="0" distB="0" distL="0" distR="0" simplePos="0" relativeHeight="251658240" behindDoc="0" locked="0" layoutInCell="1" allowOverlap="1" wp14:anchorId="51FB4DFE" wp14:editId="23DA2FC7">
              <wp:simplePos x="635" y="635"/>
              <wp:positionH relativeFrom="page">
                <wp:align>center</wp:align>
              </wp:positionH>
              <wp:positionV relativeFrom="page">
                <wp:align>top</wp:align>
              </wp:positionV>
              <wp:extent cx="443865" cy="443865"/>
              <wp:effectExtent l="0" t="0" r="4445" b="133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D454D" w14:textId="60687EE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B4DF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54D454D" w14:textId="60687EED" w:rsidR="00875CED" w:rsidRPr="00875CED" w:rsidRDefault="00875CED" w:rsidP="00875CED">
                    <w:pPr>
                      <w:spacing w:after="0"/>
                      <w:rPr>
                        <w:rFonts w:ascii="Calibri" w:eastAsia="Calibri" w:hAnsi="Calibri" w:cs="Calibri"/>
                        <w:noProof/>
                        <w:color w:val="FF0000"/>
                        <w:sz w:val="28"/>
                        <w:szCs w:val="28"/>
                      </w:rPr>
                    </w:pPr>
                    <w:r w:rsidRPr="00875CED">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25AAD"/>
    <w:multiLevelType w:val="hybridMultilevel"/>
    <w:tmpl w:val="F38E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282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02"/>
    <w:rsid w:val="000B5D81"/>
    <w:rsid w:val="0013172E"/>
    <w:rsid w:val="00301B3B"/>
    <w:rsid w:val="0035124F"/>
    <w:rsid w:val="00391C09"/>
    <w:rsid w:val="003D5D73"/>
    <w:rsid w:val="003F7066"/>
    <w:rsid w:val="00417F51"/>
    <w:rsid w:val="00421380"/>
    <w:rsid w:val="00453941"/>
    <w:rsid w:val="00473202"/>
    <w:rsid w:val="0047527B"/>
    <w:rsid w:val="004C0D2E"/>
    <w:rsid w:val="00552643"/>
    <w:rsid w:val="006055A9"/>
    <w:rsid w:val="0061404A"/>
    <w:rsid w:val="00621CCE"/>
    <w:rsid w:val="00623675"/>
    <w:rsid w:val="00646368"/>
    <w:rsid w:val="006B52E1"/>
    <w:rsid w:val="006E1D55"/>
    <w:rsid w:val="007E657C"/>
    <w:rsid w:val="0080428E"/>
    <w:rsid w:val="00875CED"/>
    <w:rsid w:val="008F2FF1"/>
    <w:rsid w:val="009A4007"/>
    <w:rsid w:val="00A10DA0"/>
    <w:rsid w:val="00AE31C2"/>
    <w:rsid w:val="00C01AB4"/>
    <w:rsid w:val="00C25DD0"/>
    <w:rsid w:val="00C33C77"/>
    <w:rsid w:val="00C64C73"/>
    <w:rsid w:val="00D11301"/>
    <w:rsid w:val="00D4375C"/>
    <w:rsid w:val="00DB3525"/>
    <w:rsid w:val="00DD29E7"/>
    <w:rsid w:val="00E129DF"/>
    <w:rsid w:val="04036492"/>
    <w:rsid w:val="049AF62C"/>
    <w:rsid w:val="0752810E"/>
    <w:rsid w:val="0CDF509D"/>
    <w:rsid w:val="0F028977"/>
    <w:rsid w:val="1016F15F"/>
    <w:rsid w:val="14EA238A"/>
    <w:rsid w:val="166D0A86"/>
    <w:rsid w:val="1957FCB2"/>
    <w:rsid w:val="1C5DCB60"/>
    <w:rsid w:val="1DDD77B9"/>
    <w:rsid w:val="1EA9C986"/>
    <w:rsid w:val="2776F143"/>
    <w:rsid w:val="27E5DEF8"/>
    <w:rsid w:val="286BBAC4"/>
    <w:rsid w:val="290FFDDE"/>
    <w:rsid w:val="2C35D82C"/>
    <w:rsid w:val="2E5660D0"/>
    <w:rsid w:val="2F2198CD"/>
    <w:rsid w:val="2FCDA31A"/>
    <w:rsid w:val="313B9A1B"/>
    <w:rsid w:val="374829FB"/>
    <w:rsid w:val="3D540A2B"/>
    <w:rsid w:val="3D579C02"/>
    <w:rsid w:val="433FDB5D"/>
    <w:rsid w:val="4F2A140D"/>
    <w:rsid w:val="62C1D715"/>
    <w:rsid w:val="62D9999A"/>
    <w:rsid w:val="62E2F84A"/>
    <w:rsid w:val="650F5787"/>
    <w:rsid w:val="6727D083"/>
    <w:rsid w:val="6F43689E"/>
    <w:rsid w:val="7036636A"/>
    <w:rsid w:val="717409AA"/>
    <w:rsid w:val="74E04C4C"/>
    <w:rsid w:val="74E951B3"/>
    <w:rsid w:val="776147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B765"/>
  <w15:chartTrackingRefBased/>
  <w15:docId w15:val="{164B864F-69B9-4E3C-9855-6608DA1E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02"/>
  </w:style>
  <w:style w:type="paragraph" w:styleId="Heading2">
    <w:name w:val="heading 2"/>
    <w:basedOn w:val="Normal"/>
    <w:next w:val="Normal"/>
    <w:link w:val="Heading2Char"/>
    <w:uiPriority w:val="9"/>
    <w:unhideWhenUsed/>
    <w:qFormat/>
    <w:rsid w:val="004732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2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32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7320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3202"/>
    <w:pPr>
      <w:ind w:left="720"/>
      <w:contextualSpacing/>
    </w:pPr>
  </w:style>
  <w:style w:type="table" w:styleId="TableGrid">
    <w:name w:val="Table Grid"/>
    <w:basedOn w:val="TableNormal"/>
    <w:uiPriority w:val="39"/>
    <w:rsid w:val="00C3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ED"/>
  </w:style>
  <w:style w:type="paragraph" w:styleId="Footer">
    <w:name w:val="footer"/>
    <w:basedOn w:val="Normal"/>
    <w:link w:val="FooterChar"/>
    <w:uiPriority w:val="99"/>
    <w:unhideWhenUsed/>
    <w:rsid w:val="00875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b44b81-153f-4bbe-acb1-d13c96326b4f" xsi:nil="true"/>
    <lcf76f155ced4ddcb4097134ff3c332f xmlns="e93ca305-1d07-4aca-8d55-5c008d9a39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D640D06487C94F8079D1484372A9B6" ma:contentTypeVersion="18" ma:contentTypeDescription="Create a new document." ma:contentTypeScope="" ma:versionID="a2d17fa70c9984a139b57df36eb07a29">
  <xsd:schema xmlns:xsd="http://www.w3.org/2001/XMLSchema" xmlns:xs="http://www.w3.org/2001/XMLSchema" xmlns:p="http://schemas.microsoft.com/office/2006/metadata/properties" xmlns:ns2="e93ca305-1d07-4aca-8d55-5c008d9a39bd" xmlns:ns3="86b44b81-153f-4bbe-acb1-d13c96326b4f" targetNamespace="http://schemas.microsoft.com/office/2006/metadata/properties" ma:root="true" ma:fieldsID="db331e16121fbd551a1e2ab5da52dbc9" ns2:_="" ns3:_="">
    <xsd:import namespace="e93ca305-1d07-4aca-8d55-5c008d9a39bd"/>
    <xsd:import namespace="86b44b81-153f-4bbe-acb1-d13c96326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ca305-1d07-4aca-8d55-5c008d9a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4dd9da-ad1b-4c3c-a08c-a2838310bff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b44b81-153f-4bbe-acb1-d13c96326b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1bb7fe-79d8-44fe-ab4c-339c240a9d06}" ma:internalName="TaxCatchAll" ma:showField="CatchAllData" ma:web="86b44b81-153f-4bbe-acb1-d13c96326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7C882-0D33-4848-B0D9-BE19665A26F6}">
  <ds:schemaRefs>
    <ds:schemaRef ds:uri="http://schemas.microsoft.com/sharepoint/v3/contenttype/forms"/>
  </ds:schemaRefs>
</ds:datastoreItem>
</file>

<file path=customXml/itemProps2.xml><?xml version="1.0" encoding="utf-8"?>
<ds:datastoreItem xmlns:ds="http://schemas.openxmlformats.org/officeDocument/2006/customXml" ds:itemID="{3E9EA0CA-9011-4DE6-A7B1-EC85EDA2D6FA}">
  <ds:schemaRefs>
    <ds:schemaRef ds:uri="86b44b81-153f-4bbe-acb1-d13c96326b4f"/>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93ca305-1d07-4aca-8d55-5c008d9a39bd"/>
    <ds:schemaRef ds:uri="http://schemas.microsoft.com/office/2006/metadata/properties"/>
  </ds:schemaRefs>
</ds:datastoreItem>
</file>

<file path=customXml/itemProps3.xml><?xml version="1.0" encoding="utf-8"?>
<ds:datastoreItem xmlns:ds="http://schemas.openxmlformats.org/officeDocument/2006/customXml" ds:itemID="{15916A2C-55C4-4624-B821-3768F8689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ca305-1d07-4aca-8d55-5c008d9a39bd"/>
    <ds:schemaRef ds:uri="86b44b81-153f-4bbe-acb1-d13c96326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WICHT</dc:creator>
  <cp:keywords/>
  <dc:description/>
  <cp:lastModifiedBy>Mark WICHT</cp:lastModifiedBy>
  <cp:revision>27</cp:revision>
  <dcterms:created xsi:type="dcterms:W3CDTF">2022-11-09T20:44:00Z</dcterms:created>
  <dcterms:modified xsi:type="dcterms:W3CDTF">2023-12-10T10:23:00Z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0x0101001BD640D06487C94F8079D1484372A9B6</vt:lpwstr>
  </property>
  <property fmtid="{D5CDD505-2E9C-101B-9397-08002B2CF9AE}" pid="3" name="ClassificationContentMarkingHeaderShapeIds">
    <vt:lpwstr>1,2,3</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y fmtid="{D5CDD505-2E9C-101B-9397-08002B2CF9AE}" pid="9" name="MSIP_Label_81af44e5-4e25-40be-b437-08fbc55eac1d_Enabled">
    <vt:lpwstr>true</vt:lpwstr>
  </property>
  <property fmtid="{D5CDD505-2E9C-101B-9397-08002B2CF9AE}" pid="10" name="MSIP_Label_81af44e5-4e25-40be-b437-08fbc55eac1d_SetDate">
    <vt:lpwstr>2022-11-09T01:44:31Z</vt:lpwstr>
  </property>
  <property fmtid="{D5CDD505-2E9C-101B-9397-08002B2CF9AE}" pid="11" name="MSIP_Label_81af44e5-4e25-40be-b437-08fbc55eac1d_Method">
    <vt:lpwstr>Privileged</vt:lpwstr>
  </property>
  <property fmtid="{D5CDD505-2E9C-101B-9397-08002B2CF9AE}" pid="12" name="MSIP_Label_81af44e5-4e25-40be-b437-08fbc55eac1d_Name">
    <vt:lpwstr>OFFICIAL</vt:lpwstr>
  </property>
  <property fmtid="{D5CDD505-2E9C-101B-9397-08002B2CF9AE}" pid="13" name="MSIP_Label_81af44e5-4e25-40be-b437-08fbc55eac1d_SiteId">
    <vt:lpwstr>908d2823-d1bb-45b1-9a09-293dbca1a797</vt:lpwstr>
  </property>
  <property fmtid="{D5CDD505-2E9C-101B-9397-08002B2CF9AE}" pid="14" name="MSIP_Label_81af44e5-4e25-40be-b437-08fbc55eac1d_ActionId">
    <vt:lpwstr>44dd994c-09f3-47bd-abdc-793ea35f9631</vt:lpwstr>
  </property>
  <property fmtid="{D5CDD505-2E9C-101B-9397-08002B2CF9AE}" pid="15" name="MSIP_Label_81af44e5-4e25-40be-b437-08fbc55eac1d_ContentBits">
    <vt:lpwstr>3</vt:lpwstr>
  </property>
  <property fmtid="{D5CDD505-2E9C-101B-9397-08002B2CF9AE}" pid="16" name="MediaServiceImageTags">
    <vt:lpwstr/>
  </property>
</Properties>
</file>