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BA4D" w14:textId="77777777" w:rsidR="005069C7" w:rsidRPr="00BB621D" w:rsidRDefault="005069C7" w:rsidP="005069C7">
      <w:pPr>
        <w:pStyle w:val="Heading2"/>
      </w:pPr>
      <w:r w:rsidRPr="00BB621D">
        <w:t>Ending bankruptcies</w:t>
      </w:r>
    </w:p>
    <w:p w14:paraId="1258E7BA" w14:textId="77777777" w:rsidR="005069C7" w:rsidRPr="00BB621D" w:rsidRDefault="005069C7" w:rsidP="005069C7">
      <w:r w:rsidRPr="00BB621D">
        <w:t>Once a debtor is bankrupt, his or her bankruptcy ends by either discharge or an annulment.</w:t>
      </w:r>
    </w:p>
    <w:p w14:paraId="77BE968B" w14:textId="77777777" w:rsidR="005069C7" w:rsidRPr="00BB621D" w:rsidRDefault="005069C7" w:rsidP="005069C7">
      <w:pPr>
        <w:pStyle w:val="Heading3"/>
      </w:pPr>
      <w:r w:rsidRPr="00BB621D">
        <w:t>Annulments</w:t>
      </w:r>
    </w:p>
    <w:p w14:paraId="65A259BD" w14:textId="3B320A13" w:rsidR="005069C7" w:rsidRPr="00BB621D" w:rsidRDefault="01DBDD92" w:rsidP="005069C7">
      <w:pPr>
        <w:widowControl w:val="0"/>
        <w:spacing w:after="200" w:line="240" w:lineRule="auto"/>
      </w:pPr>
      <w:r>
        <w:t>Section 74 annulments occur when creditors accept a composition or arrangement to settle debts. In 202</w:t>
      </w:r>
      <w:r w:rsidR="00470AB2">
        <w:t>2</w:t>
      </w:r>
      <w:r>
        <w:t>–2</w:t>
      </w:r>
      <w:r w:rsidR="00470AB2">
        <w:t>3</w:t>
      </w:r>
      <w:r>
        <w:t xml:space="preserve">, there were </w:t>
      </w:r>
      <w:r w:rsidR="00200A1D">
        <w:t>73</w:t>
      </w:r>
      <w:r w:rsidR="3956EA33">
        <w:t xml:space="preserve"> </w:t>
      </w:r>
      <w:r>
        <w:t xml:space="preserve">section 74 annulments. </w:t>
      </w:r>
    </w:p>
    <w:p w14:paraId="2059A29F" w14:textId="02CEF00C" w:rsidR="005069C7" w:rsidRPr="00BB621D" w:rsidRDefault="01DBDD92" w:rsidP="005069C7">
      <w:pPr>
        <w:widowControl w:val="0"/>
        <w:spacing w:after="200" w:line="240" w:lineRule="auto"/>
      </w:pPr>
      <w:r>
        <w:t>Section 153A annulments occur when a bankrupt pays all his or her debts in full. In 202</w:t>
      </w:r>
      <w:r w:rsidR="00200A1D">
        <w:t>2</w:t>
      </w:r>
      <w:r>
        <w:t>–2</w:t>
      </w:r>
      <w:r w:rsidR="00200A1D">
        <w:t>3</w:t>
      </w:r>
      <w:r>
        <w:t>, there were 25</w:t>
      </w:r>
      <w:r w:rsidR="00200A1D">
        <w:t>7</w:t>
      </w:r>
      <w:r>
        <w:t xml:space="preserve"> section 153A annulments.</w:t>
      </w:r>
    </w:p>
    <w:p w14:paraId="29C06403" w14:textId="0794B9D1" w:rsidR="005069C7" w:rsidRPr="00BB621D" w:rsidRDefault="01DBDD92" w:rsidP="005069C7">
      <w:r>
        <w:t>Section 153B annulments occur when a bankrupt successfully applies to the court for an order annulling his or her bankruptcy. In 202</w:t>
      </w:r>
      <w:r w:rsidR="00200A1D">
        <w:t>2</w:t>
      </w:r>
      <w:r>
        <w:t>–2</w:t>
      </w:r>
      <w:r w:rsidR="00200A1D">
        <w:t>3</w:t>
      </w:r>
      <w:r>
        <w:t>, there w</w:t>
      </w:r>
      <w:r w:rsidR="2167D127">
        <w:t>as</w:t>
      </w:r>
      <w:r>
        <w:t xml:space="preserve"> </w:t>
      </w:r>
      <w:r w:rsidR="00200A1D">
        <w:t>2</w:t>
      </w:r>
      <w:r>
        <w:t xml:space="preserve"> section 153B annulments.  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114"/>
        <w:gridCol w:w="2896"/>
        <w:gridCol w:w="3005"/>
      </w:tblGrid>
      <w:tr w:rsidR="005069C7" w:rsidRPr="00C70EAF" w14:paraId="10E25D28" w14:textId="77777777" w:rsidTr="00C3051D">
        <w:tc>
          <w:tcPr>
            <w:tcW w:w="3114" w:type="dxa"/>
          </w:tcPr>
          <w:p w14:paraId="54C98E0C" w14:textId="77777777" w:rsidR="005069C7" w:rsidRPr="00501A14" w:rsidRDefault="005069C7" w:rsidP="001D0D74">
            <w:pPr>
              <w:rPr>
                <w:rFonts w:ascii="Calibri" w:eastAsia="Times New Roman" w:hAnsi="Calibri"/>
                <w:bCs/>
                <w:color w:val="000000"/>
              </w:rPr>
            </w:pPr>
            <w:r w:rsidRPr="00501A14">
              <w:rPr>
                <w:rFonts w:ascii="Calibri" w:hAnsi="Calibri"/>
                <w:bCs/>
                <w:color w:val="000000"/>
              </w:rPr>
              <w:t>Type of annulment</w:t>
            </w:r>
          </w:p>
        </w:tc>
        <w:tc>
          <w:tcPr>
            <w:tcW w:w="2896" w:type="dxa"/>
          </w:tcPr>
          <w:p w14:paraId="50DAA138" w14:textId="2A6EA3AE" w:rsidR="1602A91D" w:rsidRDefault="1602A91D" w:rsidP="1602A91D">
            <w:pPr>
              <w:rPr>
                <w:rFonts w:ascii="Calibri" w:hAnsi="Calibri"/>
                <w:color w:val="000000" w:themeColor="text1"/>
              </w:rPr>
            </w:pPr>
            <w:r w:rsidRPr="1602A91D">
              <w:rPr>
                <w:rFonts w:ascii="Calibri" w:hAnsi="Calibri"/>
                <w:color w:val="000000" w:themeColor="text1"/>
              </w:rPr>
              <w:t>Number of annulments in 202</w:t>
            </w:r>
            <w:r w:rsidR="0073427B">
              <w:rPr>
                <w:rFonts w:ascii="Calibri" w:hAnsi="Calibri"/>
                <w:color w:val="000000" w:themeColor="text1"/>
              </w:rPr>
              <w:t>1</w:t>
            </w:r>
            <w:r w:rsidRPr="1602A91D">
              <w:rPr>
                <w:rFonts w:ascii="Calibri" w:hAnsi="Calibri"/>
                <w:color w:val="000000" w:themeColor="text1"/>
              </w:rPr>
              <w:t>–2</w:t>
            </w:r>
            <w:r w:rsidR="0073427B">
              <w:rPr>
                <w:rFonts w:ascii="Calibri" w:hAnsi="Calibri"/>
                <w:color w:val="000000" w:themeColor="text1"/>
              </w:rPr>
              <w:t>2</w:t>
            </w:r>
          </w:p>
        </w:tc>
        <w:tc>
          <w:tcPr>
            <w:tcW w:w="3005" w:type="dxa"/>
          </w:tcPr>
          <w:p w14:paraId="6E35614B" w14:textId="2A16694A" w:rsidR="005069C7" w:rsidRPr="00501A14" w:rsidRDefault="01DBDD92" w:rsidP="1602A91D">
            <w:pPr>
              <w:rPr>
                <w:rFonts w:ascii="Calibri" w:hAnsi="Calibri"/>
                <w:color w:val="000000"/>
              </w:rPr>
            </w:pPr>
            <w:r w:rsidRPr="1602A91D">
              <w:rPr>
                <w:rFonts w:ascii="Calibri" w:hAnsi="Calibri"/>
                <w:color w:val="000000" w:themeColor="text1"/>
              </w:rPr>
              <w:t>Number of annulments in 202</w:t>
            </w:r>
            <w:r w:rsidR="006648E6">
              <w:rPr>
                <w:rFonts w:ascii="Calibri" w:hAnsi="Calibri"/>
                <w:color w:val="000000" w:themeColor="text1"/>
              </w:rPr>
              <w:t>2-</w:t>
            </w:r>
            <w:r w:rsidRPr="1602A91D">
              <w:rPr>
                <w:rFonts w:ascii="Calibri" w:hAnsi="Calibri"/>
                <w:color w:val="000000" w:themeColor="text1"/>
              </w:rPr>
              <w:t>2</w:t>
            </w:r>
            <w:r w:rsidR="006648E6">
              <w:rPr>
                <w:rFonts w:ascii="Calibri" w:hAnsi="Calibri"/>
                <w:color w:val="000000" w:themeColor="text1"/>
              </w:rPr>
              <w:t>3</w:t>
            </w:r>
          </w:p>
        </w:tc>
      </w:tr>
      <w:tr w:rsidR="0073427B" w:rsidRPr="00C70EAF" w14:paraId="38B59A62" w14:textId="77777777" w:rsidTr="00C3051D">
        <w:tc>
          <w:tcPr>
            <w:tcW w:w="3114" w:type="dxa"/>
            <w:shd w:val="clear" w:color="auto" w:fill="auto"/>
          </w:tcPr>
          <w:p w14:paraId="571C7204" w14:textId="77777777" w:rsidR="0073427B" w:rsidRPr="00501A14" w:rsidRDefault="0073427B" w:rsidP="0073427B">
            <w:r w:rsidRPr="00501A14">
              <w:t>Notices (s.74(5A))</w:t>
            </w:r>
          </w:p>
        </w:tc>
        <w:tc>
          <w:tcPr>
            <w:tcW w:w="2896" w:type="dxa"/>
            <w:vAlign w:val="bottom"/>
          </w:tcPr>
          <w:p w14:paraId="28AA5246" w14:textId="5647AF6A" w:rsidR="0073427B" w:rsidRDefault="0073427B" w:rsidP="0073427B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1602A91D">
              <w:rPr>
                <w:rFonts w:ascii="Calibri" w:hAnsi="Calibri"/>
                <w:color w:val="000000" w:themeColor="text1"/>
              </w:rPr>
              <w:t>84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617DF890" w14:textId="5BE735B2" w:rsidR="0073427B" w:rsidRPr="00501A14" w:rsidRDefault="00843D37" w:rsidP="0073427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73427B" w:rsidRPr="00C70EAF" w14:paraId="7383AB2A" w14:textId="77777777" w:rsidTr="00C3051D">
        <w:tc>
          <w:tcPr>
            <w:tcW w:w="3114" w:type="dxa"/>
            <w:shd w:val="clear" w:color="auto" w:fill="auto"/>
          </w:tcPr>
          <w:p w14:paraId="29F074EC" w14:textId="77777777" w:rsidR="0073427B" w:rsidRPr="00501A14" w:rsidRDefault="0073427B" w:rsidP="0073427B">
            <w:r w:rsidRPr="00501A14">
              <w:t>Certificates (s.153A)</w:t>
            </w:r>
          </w:p>
        </w:tc>
        <w:tc>
          <w:tcPr>
            <w:tcW w:w="2896" w:type="dxa"/>
            <w:vAlign w:val="bottom"/>
          </w:tcPr>
          <w:p w14:paraId="5C03AC6E" w14:textId="77E48D59" w:rsidR="0073427B" w:rsidRDefault="0073427B" w:rsidP="0073427B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1602A91D">
              <w:rPr>
                <w:rFonts w:ascii="Calibri" w:hAnsi="Calibri"/>
                <w:color w:val="000000" w:themeColor="text1"/>
              </w:rPr>
              <w:t>250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2328E91C" w14:textId="31147889" w:rsidR="0073427B" w:rsidRPr="00501A14" w:rsidRDefault="00843D37" w:rsidP="0073427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257</w:t>
            </w:r>
          </w:p>
        </w:tc>
      </w:tr>
      <w:tr w:rsidR="0073427B" w:rsidRPr="00CD70A9" w14:paraId="4FEE685D" w14:textId="77777777" w:rsidTr="00C3051D">
        <w:tc>
          <w:tcPr>
            <w:tcW w:w="3114" w:type="dxa"/>
            <w:shd w:val="clear" w:color="auto" w:fill="auto"/>
          </w:tcPr>
          <w:p w14:paraId="1D4A5BDA" w14:textId="77777777" w:rsidR="0073427B" w:rsidRPr="00501A14" w:rsidRDefault="0073427B" w:rsidP="0073427B">
            <w:r w:rsidRPr="00501A14">
              <w:t>Applications (s.153B) to Federal Court with a result of granted</w:t>
            </w:r>
          </w:p>
        </w:tc>
        <w:tc>
          <w:tcPr>
            <w:tcW w:w="2896" w:type="dxa"/>
            <w:vAlign w:val="bottom"/>
          </w:tcPr>
          <w:p w14:paraId="0B20DDE7" w14:textId="6E66E810" w:rsidR="0073427B" w:rsidRDefault="0073427B" w:rsidP="0073427B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1602A91D">
              <w:rPr>
                <w:rFonts w:ascii="Calibri" w:hAnsi="Calibri"/>
                <w:color w:val="000000" w:themeColor="text1"/>
              </w:rPr>
              <w:t>1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024298D9" w14:textId="6B6476FF" w:rsidR="0073427B" w:rsidRPr="00501A14" w:rsidRDefault="00C55C23" w:rsidP="0073427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</w:tbl>
    <w:p w14:paraId="0826A616" w14:textId="77777777" w:rsidR="005069C7" w:rsidRPr="004176D1" w:rsidRDefault="005069C7" w:rsidP="005069C7"/>
    <w:p w14:paraId="4DBE4C7E" w14:textId="77777777" w:rsidR="005069C7" w:rsidRPr="004176D1" w:rsidRDefault="005069C7" w:rsidP="005069C7">
      <w:pPr>
        <w:pStyle w:val="Heading3"/>
      </w:pPr>
      <w:r w:rsidRPr="004176D1">
        <w:t>Objections to discharge</w:t>
      </w:r>
    </w:p>
    <w:p w14:paraId="188967F3" w14:textId="44110789" w:rsidR="005069C7" w:rsidRPr="004176D1" w:rsidRDefault="01DBDD92" w:rsidP="005069C7">
      <w:r>
        <w:t>Consistent with previous years, most objections to discharge extended bankruptcy to eight years in 202</w:t>
      </w:r>
      <w:r w:rsidR="002B1C4B">
        <w:t>2</w:t>
      </w:r>
      <w:r>
        <w:t>–2</w:t>
      </w:r>
      <w:r w:rsidR="002B1C4B">
        <w:t>3</w:t>
      </w:r>
      <w:r>
        <w:t xml:space="preserve">. There were </w:t>
      </w:r>
      <w:r w:rsidR="002B1C4B">
        <w:t>18</w:t>
      </w:r>
      <w:r>
        <w:t xml:space="preserve"> objections to discharge extending bankruptcy by five years, and </w:t>
      </w:r>
      <w:r w:rsidR="002B1C4B">
        <w:t>32</w:t>
      </w:r>
      <w:r w:rsidR="2C344ECD">
        <w:t>3</w:t>
      </w:r>
      <w:r>
        <w:t xml:space="preserve"> objections to discharge extending bankruptcy to eight years.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688"/>
        <w:gridCol w:w="1688"/>
        <w:gridCol w:w="1688"/>
        <w:gridCol w:w="1688"/>
      </w:tblGrid>
      <w:tr w:rsidR="005069C7" w:rsidRPr="00CD70A9" w14:paraId="18ABA81F" w14:textId="77777777" w:rsidTr="1602A91D">
        <w:trPr>
          <w:trHeight w:val="1367"/>
        </w:trPr>
        <w:tc>
          <w:tcPr>
            <w:tcW w:w="2263" w:type="dxa"/>
          </w:tcPr>
          <w:p w14:paraId="6A659783" w14:textId="77777777" w:rsidR="005069C7" w:rsidRPr="009F54BA" w:rsidRDefault="005069C7" w:rsidP="001D0D74"/>
        </w:tc>
        <w:tc>
          <w:tcPr>
            <w:tcW w:w="1688" w:type="dxa"/>
          </w:tcPr>
          <w:p w14:paraId="519DC1A0" w14:textId="7FFD0728" w:rsidR="1602A91D" w:rsidRDefault="1602A91D" w:rsidP="1602A91D">
            <w:pPr>
              <w:rPr>
                <w:rFonts w:ascii="Calibri" w:hAnsi="Calibri"/>
                <w:color w:val="000000" w:themeColor="text1"/>
              </w:rPr>
            </w:pPr>
            <w:r w:rsidRPr="1602A91D">
              <w:rPr>
                <w:rFonts w:ascii="Calibri" w:hAnsi="Calibri"/>
                <w:color w:val="000000" w:themeColor="text1"/>
              </w:rPr>
              <w:t>Number of objections extending bankruptcy to five years: 202</w:t>
            </w:r>
            <w:r w:rsidR="009C6B5A">
              <w:rPr>
                <w:rFonts w:ascii="Calibri" w:hAnsi="Calibri"/>
                <w:color w:val="000000" w:themeColor="text1"/>
              </w:rPr>
              <w:t>1</w:t>
            </w:r>
            <w:r w:rsidRPr="1602A91D">
              <w:rPr>
                <w:rFonts w:ascii="Calibri" w:hAnsi="Calibri"/>
                <w:color w:val="000000" w:themeColor="text1"/>
              </w:rPr>
              <w:t>–2</w:t>
            </w:r>
            <w:r w:rsidR="009C6B5A">
              <w:rPr>
                <w:rFonts w:ascii="Calibri" w:hAnsi="Calibri"/>
                <w:color w:val="000000" w:themeColor="text1"/>
              </w:rPr>
              <w:t>2</w:t>
            </w:r>
          </w:p>
        </w:tc>
        <w:tc>
          <w:tcPr>
            <w:tcW w:w="1688" w:type="dxa"/>
          </w:tcPr>
          <w:p w14:paraId="7EB1E5DE" w14:textId="037F8072" w:rsidR="005069C7" w:rsidRPr="009F54BA" w:rsidRDefault="01DBDD92" w:rsidP="001D0D74">
            <w:pPr>
              <w:rPr>
                <w:rFonts w:ascii="Calibri" w:hAnsi="Calibri"/>
                <w:color w:val="000000"/>
              </w:rPr>
            </w:pPr>
            <w:r w:rsidRPr="1602A91D">
              <w:rPr>
                <w:rFonts w:ascii="Calibri" w:hAnsi="Calibri"/>
                <w:color w:val="000000" w:themeColor="text1"/>
              </w:rPr>
              <w:t>Number of objections extending bankruptcy to five years: 202</w:t>
            </w:r>
            <w:r w:rsidR="009C6B5A">
              <w:rPr>
                <w:rFonts w:ascii="Calibri" w:hAnsi="Calibri"/>
                <w:color w:val="000000" w:themeColor="text1"/>
              </w:rPr>
              <w:t>2</w:t>
            </w:r>
            <w:r w:rsidRPr="1602A91D">
              <w:rPr>
                <w:rFonts w:ascii="Calibri" w:hAnsi="Calibri"/>
                <w:color w:val="000000" w:themeColor="text1"/>
              </w:rPr>
              <w:t>–2</w:t>
            </w:r>
            <w:r w:rsidR="009C6B5A">
              <w:rPr>
                <w:rFonts w:ascii="Calibri" w:hAnsi="Calibri"/>
                <w:color w:val="000000" w:themeColor="text1"/>
              </w:rPr>
              <w:t>3</w:t>
            </w:r>
          </w:p>
        </w:tc>
        <w:tc>
          <w:tcPr>
            <w:tcW w:w="1688" w:type="dxa"/>
          </w:tcPr>
          <w:p w14:paraId="6C3D78A3" w14:textId="29D68B08" w:rsidR="1602A91D" w:rsidRDefault="1602A91D" w:rsidP="1602A91D">
            <w:pPr>
              <w:rPr>
                <w:rFonts w:ascii="Calibri" w:hAnsi="Calibri"/>
                <w:color w:val="000000" w:themeColor="text1"/>
              </w:rPr>
            </w:pPr>
            <w:r w:rsidRPr="1602A91D">
              <w:rPr>
                <w:rFonts w:ascii="Calibri" w:hAnsi="Calibri"/>
                <w:color w:val="000000" w:themeColor="text1"/>
              </w:rPr>
              <w:t>Number of objections extending bankruptcy to eight years: 202</w:t>
            </w:r>
            <w:r w:rsidR="009C6B5A">
              <w:rPr>
                <w:rFonts w:ascii="Calibri" w:hAnsi="Calibri"/>
                <w:color w:val="000000" w:themeColor="text1"/>
              </w:rPr>
              <w:t>1</w:t>
            </w:r>
            <w:r w:rsidRPr="1602A91D">
              <w:rPr>
                <w:rFonts w:ascii="Calibri" w:hAnsi="Calibri"/>
                <w:color w:val="000000" w:themeColor="text1"/>
              </w:rPr>
              <w:t>–2</w:t>
            </w:r>
            <w:r w:rsidR="009C6B5A">
              <w:rPr>
                <w:rFonts w:ascii="Calibri" w:hAnsi="Calibri"/>
                <w:color w:val="000000" w:themeColor="text1"/>
              </w:rPr>
              <w:t>2</w:t>
            </w:r>
          </w:p>
        </w:tc>
        <w:tc>
          <w:tcPr>
            <w:tcW w:w="1688" w:type="dxa"/>
          </w:tcPr>
          <w:p w14:paraId="01A45709" w14:textId="1557662B" w:rsidR="005069C7" w:rsidRPr="009F54BA" w:rsidRDefault="01DBDD92" w:rsidP="001D0D74">
            <w:pPr>
              <w:rPr>
                <w:rFonts w:ascii="Calibri" w:hAnsi="Calibri"/>
                <w:color w:val="000000"/>
              </w:rPr>
            </w:pPr>
            <w:r w:rsidRPr="1602A91D">
              <w:rPr>
                <w:rFonts w:ascii="Calibri" w:hAnsi="Calibri"/>
                <w:color w:val="000000" w:themeColor="text1"/>
              </w:rPr>
              <w:t>Number of objections extending bankruptcy to eight years: 202</w:t>
            </w:r>
            <w:r w:rsidR="009C6B5A">
              <w:rPr>
                <w:rFonts w:ascii="Calibri" w:hAnsi="Calibri"/>
                <w:color w:val="000000" w:themeColor="text1"/>
              </w:rPr>
              <w:t>2</w:t>
            </w:r>
            <w:r w:rsidRPr="1602A91D">
              <w:rPr>
                <w:rFonts w:ascii="Calibri" w:hAnsi="Calibri"/>
                <w:color w:val="000000" w:themeColor="text1"/>
              </w:rPr>
              <w:t>–2</w:t>
            </w:r>
            <w:r w:rsidR="009C6B5A">
              <w:rPr>
                <w:rFonts w:ascii="Calibri" w:hAnsi="Calibri"/>
                <w:color w:val="000000" w:themeColor="text1"/>
              </w:rPr>
              <w:t>3</w:t>
            </w:r>
          </w:p>
        </w:tc>
      </w:tr>
      <w:tr w:rsidR="005069C7" w:rsidRPr="00CD70A9" w14:paraId="6D5F1CA5" w14:textId="77777777" w:rsidTr="1602A91D">
        <w:trPr>
          <w:trHeight w:val="70"/>
        </w:trPr>
        <w:tc>
          <w:tcPr>
            <w:tcW w:w="2263" w:type="dxa"/>
          </w:tcPr>
          <w:p w14:paraId="0C5D7B6B" w14:textId="77777777" w:rsidR="005069C7" w:rsidRPr="009F54BA" w:rsidRDefault="005069C7" w:rsidP="001D0D74">
            <w:pPr>
              <w:rPr>
                <w:rFonts w:ascii="Calibri" w:hAnsi="Calibri"/>
                <w:color w:val="000000"/>
              </w:rPr>
            </w:pPr>
            <w:r w:rsidRPr="009F54BA">
              <w:rPr>
                <w:rFonts w:ascii="Calibri" w:hAnsi="Calibri"/>
                <w:color w:val="000000"/>
              </w:rPr>
              <w:t>Objections filed by:</w:t>
            </w:r>
          </w:p>
        </w:tc>
        <w:tc>
          <w:tcPr>
            <w:tcW w:w="1688" w:type="dxa"/>
          </w:tcPr>
          <w:p w14:paraId="06A572F0" w14:textId="77777777" w:rsidR="1602A91D" w:rsidRDefault="1602A91D" w:rsidP="1602A91D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88" w:type="dxa"/>
          </w:tcPr>
          <w:p w14:paraId="3538877E" w14:textId="77777777" w:rsidR="005069C7" w:rsidRPr="009F54BA" w:rsidRDefault="005069C7" w:rsidP="001D0D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88" w:type="dxa"/>
          </w:tcPr>
          <w:p w14:paraId="0EE2463F" w14:textId="77777777" w:rsidR="1602A91D" w:rsidRDefault="1602A91D" w:rsidP="1602A91D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88" w:type="dxa"/>
          </w:tcPr>
          <w:p w14:paraId="6A8E3A4A" w14:textId="77777777" w:rsidR="005069C7" w:rsidRPr="009F54BA" w:rsidRDefault="005069C7" w:rsidP="001D0D74">
            <w:pPr>
              <w:rPr>
                <w:rFonts w:ascii="Calibri" w:hAnsi="Calibri"/>
                <w:color w:val="000000"/>
              </w:rPr>
            </w:pPr>
          </w:p>
        </w:tc>
      </w:tr>
      <w:tr w:rsidR="009C6B5A" w:rsidRPr="00CD70A9" w14:paraId="3FC5A1F5" w14:textId="77777777" w:rsidTr="00F24D7E">
        <w:tc>
          <w:tcPr>
            <w:tcW w:w="2263" w:type="dxa"/>
          </w:tcPr>
          <w:p w14:paraId="74DAD821" w14:textId="77777777" w:rsidR="009C6B5A" w:rsidRPr="009F54BA" w:rsidRDefault="009C6B5A" w:rsidP="009C6B5A">
            <w:pPr>
              <w:rPr>
                <w:rFonts w:ascii="Calibri" w:hAnsi="Calibri"/>
                <w:color w:val="000000"/>
              </w:rPr>
            </w:pPr>
            <w:r w:rsidRPr="009F54BA">
              <w:rPr>
                <w:rFonts w:ascii="Calibri" w:hAnsi="Calibri"/>
                <w:color w:val="000000"/>
              </w:rPr>
              <w:t xml:space="preserve">   Official Trustee</w:t>
            </w:r>
          </w:p>
        </w:tc>
        <w:tc>
          <w:tcPr>
            <w:tcW w:w="1688" w:type="dxa"/>
            <w:vAlign w:val="bottom"/>
          </w:tcPr>
          <w:p w14:paraId="4B6D4275" w14:textId="55CD0C73" w:rsidR="009C6B5A" w:rsidRDefault="009C6B5A" w:rsidP="009C6B5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1602A91D">
              <w:rPr>
                <w:rFonts w:ascii="Calibri" w:hAnsi="Calibri"/>
                <w:color w:val="000000" w:themeColor="text1"/>
              </w:rPr>
              <w:t>2</w:t>
            </w:r>
          </w:p>
        </w:tc>
        <w:tc>
          <w:tcPr>
            <w:tcW w:w="1688" w:type="dxa"/>
            <w:vAlign w:val="bottom"/>
          </w:tcPr>
          <w:p w14:paraId="12C83773" w14:textId="25135B52" w:rsidR="009C6B5A" w:rsidRPr="009F54BA" w:rsidRDefault="003020C4" w:rsidP="009C6B5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688" w:type="dxa"/>
            <w:vAlign w:val="bottom"/>
          </w:tcPr>
          <w:p w14:paraId="6CC8081C" w14:textId="623478AA" w:rsidR="009C6B5A" w:rsidRDefault="009C6B5A" w:rsidP="009C6B5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1602A91D">
              <w:rPr>
                <w:rFonts w:ascii="Calibri" w:hAnsi="Calibri"/>
                <w:color w:val="000000" w:themeColor="text1"/>
              </w:rPr>
              <w:t>422</w:t>
            </w:r>
          </w:p>
        </w:tc>
        <w:tc>
          <w:tcPr>
            <w:tcW w:w="1688" w:type="dxa"/>
            <w:shd w:val="clear" w:color="auto" w:fill="auto"/>
            <w:vAlign w:val="bottom"/>
          </w:tcPr>
          <w:p w14:paraId="7F8C2DCA" w14:textId="7322EBB7" w:rsidR="009C6B5A" w:rsidRPr="009F54BA" w:rsidRDefault="0033346A" w:rsidP="009C6B5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9C6B5A" w:rsidRPr="00CD70A9" w14:paraId="73D395BB" w14:textId="77777777" w:rsidTr="00F24D7E">
        <w:tc>
          <w:tcPr>
            <w:tcW w:w="2263" w:type="dxa"/>
          </w:tcPr>
          <w:p w14:paraId="1BE30C59" w14:textId="77777777" w:rsidR="009C6B5A" w:rsidRPr="009F54BA" w:rsidRDefault="009C6B5A" w:rsidP="009C6B5A">
            <w:pPr>
              <w:rPr>
                <w:rFonts w:ascii="Calibri" w:hAnsi="Calibri"/>
                <w:color w:val="000000"/>
              </w:rPr>
            </w:pPr>
            <w:r w:rsidRPr="009F54BA">
              <w:rPr>
                <w:rFonts w:ascii="Calibri" w:hAnsi="Calibri"/>
                <w:color w:val="000000"/>
              </w:rPr>
              <w:t xml:space="preserve">   Registered trustees</w:t>
            </w:r>
          </w:p>
        </w:tc>
        <w:tc>
          <w:tcPr>
            <w:tcW w:w="1688" w:type="dxa"/>
            <w:vAlign w:val="bottom"/>
          </w:tcPr>
          <w:p w14:paraId="79852C3E" w14:textId="20D0E326" w:rsidR="009C6B5A" w:rsidRDefault="009C6B5A" w:rsidP="009C6B5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1602A91D">
              <w:rPr>
                <w:rFonts w:ascii="Calibri" w:hAnsi="Calibri"/>
                <w:color w:val="000000" w:themeColor="text1"/>
              </w:rPr>
              <w:t>18</w:t>
            </w:r>
          </w:p>
        </w:tc>
        <w:tc>
          <w:tcPr>
            <w:tcW w:w="1688" w:type="dxa"/>
            <w:vAlign w:val="bottom"/>
          </w:tcPr>
          <w:p w14:paraId="4AFA9DA7" w14:textId="475418A7" w:rsidR="009C6B5A" w:rsidRPr="009F54BA" w:rsidRDefault="008D0322" w:rsidP="009C6B5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688" w:type="dxa"/>
            <w:vAlign w:val="bottom"/>
          </w:tcPr>
          <w:p w14:paraId="59B30659" w14:textId="0962904A" w:rsidR="009C6B5A" w:rsidRDefault="009C6B5A" w:rsidP="009C6B5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1602A91D">
              <w:rPr>
                <w:rFonts w:ascii="Calibri" w:hAnsi="Calibri"/>
                <w:color w:val="000000" w:themeColor="text1"/>
              </w:rPr>
              <w:t>421</w:t>
            </w:r>
          </w:p>
        </w:tc>
        <w:tc>
          <w:tcPr>
            <w:tcW w:w="1688" w:type="dxa"/>
            <w:shd w:val="clear" w:color="auto" w:fill="auto"/>
            <w:vAlign w:val="bottom"/>
          </w:tcPr>
          <w:p w14:paraId="21B69089" w14:textId="74F870A0" w:rsidR="009C6B5A" w:rsidRPr="009F54BA" w:rsidRDefault="00E6011C" w:rsidP="009C6B5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</w:t>
            </w:r>
          </w:p>
        </w:tc>
      </w:tr>
      <w:tr w:rsidR="009C6B5A" w:rsidRPr="00CD70A9" w14:paraId="44F495C3" w14:textId="77777777" w:rsidTr="00F24D7E">
        <w:tc>
          <w:tcPr>
            <w:tcW w:w="2263" w:type="dxa"/>
          </w:tcPr>
          <w:p w14:paraId="17242F75" w14:textId="77777777" w:rsidR="009C6B5A" w:rsidRPr="009F54BA" w:rsidRDefault="009C6B5A" w:rsidP="009C6B5A">
            <w:pPr>
              <w:rPr>
                <w:rFonts w:ascii="Calibri" w:hAnsi="Calibri"/>
                <w:color w:val="000000"/>
              </w:rPr>
            </w:pPr>
            <w:r w:rsidRPr="009F54BA">
              <w:rPr>
                <w:rFonts w:ascii="Calibri" w:hAnsi="Calibri"/>
                <w:color w:val="000000"/>
              </w:rPr>
              <w:t>Total</w:t>
            </w:r>
          </w:p>
        </w:tc>
        <w:tc>
          <w:tcPr>
            <w:tcW w:w="1688" w:type="dxa"/>
            <w:vAlign w:val="bottom"/>
          </w:tcPr>
          <w:p w14:paraId="62984B9D" w14:textId="07AD81AE" w:rsidR="009C6B5A" w:rsidRDefault="009C6B5A" w:rsidP="009C6B5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1602A91D">
              <w:rPr>
                <w:rFonts w:ascii="Calibri" w:hAnsi="Calibri"/>
                <w:color w:val="000000" w:themeColor="text1"/>
              </w:rPr>
              <w:t>20</w:t>
            </w:r>
          </w:p>
        </w:tc>
        <w:tc>
          <w:tcPr>
            <w:tcW w:w="1688" w:type="dxa"/>
            <w:vAlign w:val="bottom"/>
          </w:tcPr>
          <w:p w14:paraId="64C6C7F5" w14:textId="4686A8B6" w:rsidR="009C6B5A" w:rsidRPr="009F54BA" w:rsidRDefault="00E6011C" w:rsidP="009C6B5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688" w:type="dxa"/>
            <w:vAlign w:val="bottom"/>
          </w:tcPr>
          <w:p w14:paraId="57CB4A16" w14:textId="0FA7337E" w:rsidR="009C6B5A" w:rsidRDefault="009C6B5A" w:rsidP="009C6B5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1602A91D">
              <w:rPr>
                <w:rFonts w:ascii="Calibri" w:hAnsi="Calibri"/>
                <w:color w:val="000000" w:themeColor="text1"/>
              </w:rPr>
              <w:t>843</w:t>
            </w:r>
          </w:p>
        </w:tc>
        <w:tc>
          <w:tcPr>
            <w:tcW w:w="1688" w:type="dxa"/>
            <w:shd w:val="clear" w:color="auto" w:fill="auto"/>
            <w:vAlign w:val="bottom"/>
          </w:tcPr>
          <w:p w14:paraId="34CD59A3" w14:textId="33CDBF7C" w:rsidR="009C6B5A" w:rsidRPr="009F54BA" w:rsidRDefault="00DB289F" w:rsidP="009C6B5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323</w:t>
            </w:r>
          </w:p>
        </w:tc>
      </w:tr>
    </w:tbl>
    <w:p w14:paraId="7622219E" w14:textId="77777777" w:rsidR="005069C7" w:rsidRPr="00CD70A9" w:rsidRDefault="005069C7" w:rsidP="005069C7">
      <w:pPr>
        <w:rPr>
          <w:highlight w:val="yellow"/>
        </w:rPr>
      </w:pPr>
    </w:p>
    <w:p w14:paraId="1670AB0E" w14:textId="77777777" w:rsidR="005069C7" w:rsidRDefault="005069C7" w:rsidP="005069C7"/>
    <w:p w14:paraId="34019DB7" w14:textId="77777777" w:rsidR="00F77599" w:rsidRDefault="00F77599"/>
    <w:sectPr w:rsidR="00F775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7B4F" w14:textId="77777777" w:rsidR="00327B55" w:rsidRDefault="00327B55" w:rsidP="00FB664A">
      <w:pPr>
        <w:spacing w:after="0" w:line="240" w:lineRule="auto"/>
      </w:pPr>
      <w:r>
        <w:separator/>
      </w:r>
    </w:p>
  </w:endnote>
  <w:endnote w:type="continuationSeparator" w:id="0">
    <w:p w14:paraId="39A905C5" w14:textId="77777777" w:rsidR="00327B55" w:rsidRDefault="00327B55" w:rsidP="00FB664A">
      <w:pPr>
        <w:spacing w:after="0" w:line="240" w:lineRule="auto"/>
      </w:pPr>
      <w:r>
        <w:continuationSeparator/>
      </w:r>
    </w:p>
  </w:endnote>
  <w:endnote w:type="continuationNotice" w:id="1">
    <w:p w14:paraId="098CEF30" w14:textId="77777777" w:rsidR="00327B55" w:rsidRDefault="00327B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BF0C" w14:textId="7FB00E3C" w:rsidR="00FB664A" w:rsidRDefault="00FB66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01F0325" wp14:editId="60C852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2F5C3" w14:textId="0DFAF916" w:rsidR="00FB664A" w:rsidRPr="00FB664A" w:rsidRDefault="00FB664A" w:rsidP="00FB66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B664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F03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0E2F5C3" w14:textId="0DFAF916" w:rsidR="00FB664A" w:rsidRPr="00FB664A" w:rsidRDefault="00FB664A" w:rsidP="00FB66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B664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60F6" w14:textId="58D38679" w:rsidR="00FB664A" w:rsidRDefault="00FB66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5DAC12C" wp14:editId="7431A0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FABED" w14:textId="75B35D3D" w:rsidR="00FB664A" w:rsidRPr="00FB664A" w:rsidRDefault="00FB664A" w:rsidP="00FB66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B664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AC12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03FABED" w14:textId="75B35D3D" w:rsidR="00FB664A" w:rsidRPr="00FB664A" w:rsidRDefault="00FB664A" w:rsidP="00FB66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B664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9285" w14:textId="73AAC663" w:rsidR="00FB664A" w:rsidRDefault="00FB66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989AE96" wp14:editId="31FB9C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FB7CE" w14:textId="673B32A0" w:rsidR="00FB664A" w:rsidRPr="00FB664A" w:rsidRDefault="00FB664A" w:rsidP="00FB66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B664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9AE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2FFB7CE" w14:textId="673B32A0" w:rsidR="00FB664A" w:rsidRPr="00FB664A" w:rsidRDefault="00FB664A" w:rsidP="00FB66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B664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E0E9" w14:textId="77777777" w:rsidR="00327B55" w:rsidRDefault="00327B55" w:rsidP="00FB664A">
      <w:pPr>
        <w:spacing w:after="0" w:line="240" w:lineRule="auto"/>
      </w:pPr>
      <w:r>
        <w:separator/>
      </w:r>
    </w:p>
  </w:footnote>
  <w:footnote w:type="continuationSeparator" w:id="0">
    <w:p w14:paraId="001A24A0" w14:textId="77777777" w:rsidR="00327B55" w:rsidRDefault="00327B55" w:rsidP="00FB664A">
      <w:pPr>
        <w:spacing w:after="0" w:line="240" w:lineRule="auto"/>
      </w:pPr>
      <w:r>
        <w:continuationSeparator/>
      </w:r>
    </w:p>
  </w:footnote>
  <w:footnote w:type="continuationNotice" w:id="1">
    <w:p w14:paraId="250E5054" w14:textId="77777777" w:rsidR="00327B55" w:rsidRDefault="00327B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AC8F" w14:textId="25DEA502" w:rsidR="00FB664A" w:rsidRDefault="00FB66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96CF984" wp14:editId="020874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15820" w14:textId="078E881D" w:rsidR="00FB664A" w:rsidRPr="00FB664A" w:rsidRDefault="00FB664A" w:rsidP="00FB66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B664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CF9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DB15820" w14:textId="078E881D" w:rsidR="00FB664A" w:rsidRPr="00FB664A" w:rsidRDefault="00FB664A" w:rsidP="00FB66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B664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E1D3" w14:textId="181AFD24" w:rsidR="00FB664A" w:rsidRDefault="00FB66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E6E10B0" wp14:editId="4F8C78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B7C56" w14:textId="7E6DA629" w:rsidR="00FB664A" w:rsidRPr="00FB664A" w:rsidRDefault="00FB664A" w:rsidP="00FB66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B664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E10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9CB7C56" w14:textId="7E6DA629" w:rsidR="00FB664A" w:rsidRPr="00FB664A" w:rsidRDefault="00FB664A" w:rsidP="00FB66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B664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FACC" w14:textId="1F571886" w:rsidR="00FB664A" w:rsidRDefault="00FB66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54992E" wp14:editId="014F44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BA01B" w14:textId="3EBA0499" w:rsidR="00FB664A" w:rsidRPr="00FB664A" w:rsidRDefault="00FB664A" w:rsidP="00FB66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B664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499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17BA01B" w14:textId="3EBA0499" w:rsidR="00FB664A" w:rsidRPr="00FB664A" w:rsidRDefault="00FB664A" w:rsidP="00FB66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B664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C7"/>
    <w:rsid w:val="00004FA2"/>
    <w:rsid w:val="000470F3"/>
    <w:rsid w:val="00200A1D"/>
    <w:rsid w:val="002076F5"/>
    <w:rsid w:val="002B1C4B"/>
    <w:rsid w:val="003020C4"/>
    <w:rsid w:val="00327B55"/>
    <w:rsid w:val="0033346A"/>
    <w:rsid w:val="00470AB2"/>
    <w:rsid w:val="005069C7"/>
    <w:rsid w:val="006648E6"/>
    <w:rsid w:val="0073427B"/>
    <w:rsid w:val="00843D37"/>
    <w:rsid w:val="008D0322"/>
    <w:rsid w:val="00930DD1"/>
    <w:rsid w:val="009C6B5A"/>
    <w:rsid w:val="00B9274F"/>
    <w:rsid w:val="00C3051D"/>
    <w:rsid w:val="00C55C23"/>
    <w:rsid w:val="00DB289F"/>
    <w:rsid w:val="00E6011C"/>
    <w:rsid w:val="00EC7882"/>
    <w:rsid w:val="00F77599"/>
    <w:rsid w:val="00FB664A"/>
    <w:rsid w:val="01DBDD92"/>
    <w:rsid w:val="0D4B6F59"/>
    <w:rsid w:val="0D5713A8"/>
    <w:rsid w:val="0DCA9272"/>
    <w:rsid w:val="0FCAAF86"/>
    <w:rsid w:val="1332B42B"/>
    <w:rsid w:val="1602A91D"/>
    <w:rsid w:val="2167D127"/>
    <w:rsid w:val="27CE678B"/>
    <w:rsid w:val="2B46D024"/>
    <w:rsid w:val="2C344ECD"/>
    <w:rsid w:val="31688F77"/>
    <w:rsid w:val="3956EA33"/>
    <w:rsid w:val="39BFE699"/>
    <w:rsid w:val="3B346672"/>
    <w:rsid w:val="4728C0AD"/>
    <w:rsid w:val="47BE8702"/>
    <w:rsid w:val="49706A97"/>
    <w:rsid w:val="4E8DBBCE"/>
    <w:rsid w:val="50AB767E"/>
    <w:rsid w:val="5252B79C"/>
    <w:rsid w:val="5B4BACEE"/>
    <w:rsid w:val="5F11EF00"/>
    <w:rsid w:val="65A86C8A"/>
    <w:rsid w:val="66AAAAC1"/>
    <w:rsid w:val="68E600E2"/>
    <w:rsid w:val="6B5299DB"/>
    <w:rsid w:val="6C55B0FE"/>
    <w:rsid w:val="6DC2C4A6"/>
    <w:rsid w:val="6F141A8E"/>
    <w:rsid w:val="759F41D4"/>
    <w:rsid w:val="7BA7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61A9"/>
  <w15:chartTrackingRefBased/>
  <w15:docId w15:val="{A75A6975-3CCB-489D-B2CD-4C879EA9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C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9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9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69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9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50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6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64A"/>
  </w:style>
  <w:style w:type="paragraph" w:styleId="Footer">
    <w:name w:val="footer"/>
    <w:basedOn w:val="Normal"/>
    <w:link w:val="FooterChar"/>
    <w:uiPriority w:val="99"/>
    <w:unhideWhenUsed/>
    <w:rsid w:val="00FB6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b44b81-153f-4bbe-acb1-d13c96326b4f" xsi:nil="true"/>
    <lcf76f155ced4ddcb4097134ff3c332f xmlns="e93ca305-1d07-4aca-8d55-5c008d9a39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640D06487C94F8079D1484372A9B6" ma:contentTypeVersion="18" ma:contentTypeDescription="Create a new document." ma:contentTypeScope="" ma:versionID="a2d17fa70c9984a139b57df36eb07a29">
  <xsd:schema xmlns:xsd="http://www.w3.org/2001/XMLSchema" xmlns:xs="http://www.w3.org/2001/XMLSchema" xmlns:p="http://schemas.microsoft.com/office/2006/metadata/properties" xmlns:ns2="e93ca305-1d07-4aca-8d55-5c008d9a39bd" xmlns:ns3="86b44b81-153f-4bbe-acb1-d13c96326b4f" targetNamespace="http://schemas.microsoft.com/office/2006/metadata/properties" ma:root="true" ma:fieldsID="db331e16121fbd551a1e2ab5da52dbc9" ns2:_="" ns3:_="">
    <xsd:import namespace="e93ca305-1d07-4aca-8d55-5c008d9a39bd"/>
    <xsd:import namespace="86b44b81-153f-4bbe-acb1-d13c96326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ca305-1d07-4aca-8d55-5c008d9a3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4dd9da-ad1b-4c3c-a08c-a2838310b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4b81-153f-4bbe-acb1-d13c96326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1bb7fe-79d8-44fe-ab4c-339c240a9d06}" ma:internalName="TaxCatchAll" ma:showField="CatchAllData" ma:web="86b44b81-153f-4bbe-acb1-d13c96326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AE98F-E85C-4292-92F1-6D2E1065CF41}">
  <ds:schemaRefs>
    <ds:schemaRef ds:uri="http://schemas.microsoft.com/office/2006/metadata/properties"/>
    <ds:schemaRef ds:uri="http://schemas.microsoft.com/office/infopath/2007/PartnerControls"/>
    <ds:schemaRef ds:uri="86b44b81-153f-4bbe-acb1-d13c96326b4f"/>
    <ds:schemaRef ds:uri="e93ca305-1d07-4aca-8d55-5c008d9a39bd"/>
  </ds:schemaRefs>
</ds:datastoreItem>
</file>

<file path=customXml/itemProps2.xml><?xml version="1.0" encoding="utf-8"?>
<ds:datastoreItem xmlns:ds="http://schemas.openxmlformats.org/officeDocument/2006/customXml" ds:itemID="{2BFE043D-C59A-4D65-84D0-91E40FC9B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658D8-77D2-4928-9E4D-6D37603C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ca305-1d07-4aca-8d55-5c008d9a39bd"/>
    <ds:schemaRef ds:uri="86b44b81-153f-4bbe-acb1-d13c96326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WICHT</dc:creator>
  <cp:keywords/>
  <dc:description/>
  <cp:lastModifiedBy>Mark WICHT</cp:lastModifiedBy>
  <cp:revision>19</cp:revision>
  <dcterms:created xsi:type="dcterms:W3CDTF">2022-11-08T22:44:00Z</dcterms:created>
  <dcterms:modified xsi:type="dcterms:W3CDTF">2023-12-10T08:40:00Z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0x0101001BD640D06487C94F8079D1484372A9B6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#ff0000,14,Calibri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#ff0000,14,Calibri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81af44e5-4e25-40be-b437-08fbc55eac1d_Enabled">
    <vt:lpwstr>true</vt:lpwstr>
  </property>
  <property fmtid="{D5CDD505-2E9C-101B-9397-08002B2CF9AE}" pid="10" name="MSIP_Label_81af44e5-4e25-40be-b437-08fbc55eac1d_SetDate">
    <vt:lpwstr>2022-11-08T22:44:44Z</vt:lpwstr>
  </property>
  <property fmtid="{D5CDD505-2E9C-101B-9397-08002B2CF9AE}" pid="11" name="MSIP_Label_81af44e5-4e25-40be-b437-08fbc55eac1d_Method">
    <vt:lpwstr>Privileged</vt:lpwstr>
  </property>
  <property fmtid="{D5CDD505-2E9C-101B-9397-08002B2CF9AE}" pid="12" name="MSIP_Label_81af44e5-4e25-40be-b437-08fbc55eac1d_Name">
    <vt:lpwstr>OFFICIAL</vt:lpwstr>
  </property>
  <property fmtid="{D5CDD505-2E9C-101B-9397-08002B2CF9AE}" pid="13" name="MSIP_Label_81af44e5-4e25-40be-b437-08fbc55eac1d_SiteId">
    <vt:lpwstr>908d2823-d1bb-45b1-9a09-293dbca1a797</vt:lpwstr>
  </property>
  <property fmtid="{D5CDD505-2E9C-101B-9397-08002B2CF9AE}" pid="14" name="MSIP_Label_81af44e5-4e25-40be-b437-08fbc55eac1d_ActionId">
    <vt:lpwstr>4faa5666-62fd-4088-b02f-b714e4305d97</vt:lpwstr>
  </property>
  <property fmtid="{D5CDD505-2E9C-101B-9397-08002B2CF9AE}" pid="15" name="MSIP_Label_81af44e5-4e25-40be-b437-08fbc55eac1d_ContentBits">
    <vt:lpwstr>3</vt:lpwstr>
  </property>
  <property fmtid="{D5CDD505-2E9C-101B-9397-08002B2CF9AE}" pid="16" name="MediaServiceImageTags">
    <vt:lpwstr/>
  </property>
</Properties>
</file>