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7518" w14:textId="77777777" w:rsidR="001E492F" w:rsidRPr="00EA7071" w:rsidRDefault="001E492F" w:rsidP="001E492F">
      <w:pPr>
        <w:pStyle w:val="Heading2"/>
      </w:pPr>
      <w:r w:rsidRPr="00EA7071">
        <w:t>Life cycle of debt agreements</w:t>
      </w:r>
    </w:p>
    <w:p w14:paraId="264DF881" w14:textId="671BEA51" w:rsidR="001E492F" w:rsidRPr="00EA7071" w:rsidRDefault="43A6A6FB" w:rsidP="001E492F">
      <w:pPr>
        <w:pStyle w:val="Heading3"/>
      </w:pPr>
      <w:r>
        <w:t>National debt agreement proposals as at 30 June 20</w:t>
      </w:r>
      <w:r w:rsidR="6133BB2D">
        <w:t>2</w:t>
      </w:r>
      <w:r w:rsidR="001E1337">
        <w:t>3</w:t>
      </w:r>
    </w:p>
    <w:p w14:paraId="18433E17" w14:textId="5EB3EC4F" w:rsidR="001E492F" w:rsidRPr="00EA7071" w:rsidRDefault="43A6A6FB" w:rsidP="001E492F">
      <w:r>
        <w:t>In 20</w:t>
      </w:r>
      <w:r w:rsidR="6133BB2D">
        <w:t>2</w:t>
      </w:r>
      <w:r w:rsidR="00BB7CED">
        <w:t>2</w:t>
      </w:r>
      <w:r>
        <w:t>–</w:t>
      </w:r>
      <w:r w:rsidR="6133BB2D">
        <w:t>2</w:t>
      </w:r>
      <w:r w:rsidR="00BB7CED">
        <w:t>3</w:t>
      </w:r>
      <w:r>
        <w:t xml:space="preserve">, there were </w:t>
      </w:r>
      <w:r w:rsidR="003A2A08">
        <w:t>5</w:t>
      </w:r>
      <w:r w:rsidR="6133BB2D">
        <w:t>,</w:t>
      </w:r>
      <w:r w:rsidR="1D24CE3D">
        <w:t>2</w:t>
      </w:r>
      <w:r w:rsidR="003A2A08">
        <w:t>76</w:t>
      </w:r>
      <w:r>
        <w:t xml:space="preserve"> debt agreement proposals received. Of these proposals, </w:t>
      </w:r>
      <w:r w:rsidR="00EE7B14">
        <w:rPr>
          <w:color w:val="000000" w:themeColor="text1"/>
        </w:rPr>
        <w:t>89</w:t>
      </w:r>
      <w:r w:rsidRPr="66DA38CB">
        <w:rPr>
          <w:color w:val="000000" w:themeColor="text1"/>
        </w:rPr>
        <w:t>%</w:t>
      </w:r>
      <w:r>
        <w:t xml:space="preserve"> reached the voting deadline.</w:t>
      </w:r>
    </w:p>
    <w:p w14:paraId="66B1A7EF" w14:textId="66C461BC" w:rsidR="001E492F" w:rsidRPr="007D1B55" w:rsidRDefault="43A6A6FB" w:rsidP="66DA38CB">
      <w:pPr>
        <w:pStyle w:val="Heading3"/>
        <w:rPr>
          <w:rFonts w:cstheme="majorHAnsi"/>
          <w:sz w:val="22"/>
          <w:szCs w:val="22"/>
        </w:rPr>
      </w:pPr>
      <w:r w:rsidRPr="007D1B55">
        <w:rPr>
          <w:rFonts w:cstheme="majorHAnsi"/>
          <w:sz w:val="22"/>
          <w:szCs w:val="22"/>
        </w:rPr>
        <w:t>Part IX debt agreements – proposal status as at 30 June 20</w:t>
      </w:r>
      <w:r w:rsidR="1AA48586" w:rsidRPr="007D1B55">
        <w:rPr>
          <w:rFonts w:cstheme="majorHAnsi"/>
          <w:sz w:val="22"/>
          <w:szCs w:val="22"/>
        </w:rPr>
        <w:t>2</w:t>
      </w:r>
      <w:r w:rsidR="00EE7B14">
        <w:rPr>
          <w:rFonts w:cstheme="majorHAnsi"/>
          <w:sz w:val="22"/>
          <w:szCs w:val="22"/>
        </w:rPr>
        <w:t>3</w:t>
      </w:r>
    </w:p>
    <w:p w14:paraId="488462C7" w14:textId="1F02D557" w:rsidR="001E492F" w:rsidRPr="00EA7071" w:rsidRDefault="43A6A6FB" w:rsidP="001E492F">
      <w:pPr>
        <w:rPr>
          <w:rFonts w:cs="Arial"/>
        </w:rPr>
      </w:pPr>
      <w:r w:rsidRPr="66DA38CB">
        <w:rPr>
          <w:rFonts w:cs="Arial"/>
        </w:rPr>
        <w:t>These tables give a progressive summary of the outcome of each debt agreement proposal over the course of its life cycle as at 30 June 20</w:t>
      </w:r>
      <w:r w:rsidR="1AA48586" w:rsidRPr="66DA38CB">
        <w:rPr>
          <w:rFonts w:cs="Arial"/>
        </w:rPr>
        <w:t>2</w:t>
      </w:r>
      <w:r w:rsidR="00EE7B14">
        <w:rPr>
          <w:rFonts w:cs="Arial"/>
        </w:rPr>
        <w:t>3</w:t>
      </w:r>
      <w:r w:rsidRPr="66DA38CB">
        <w:rPr>
          <w:rFonts w:cs="Arial"/>
        </w:rPr>
        <w:t>. We report these figures based on the date of lodgement of debt agreement proposals. These tables may not reconcile with figures provided in other tables.</w:t>
      </w:r>
    </w:p>
    <w:tbl>
      <w:tblPr>
        <w:tblStyle w:val="TableGrid"/>
        <w:tblW w:w="9051" w:type="dxa"/>
        <w:shd w:val="clear" w:color="auto" w:fill="FF0000"/>
        <w:tblLook w:val="04A0" w:firstRow="1" w:lastRow="0" w:firstColumn="1" w:lastColumn="0" w:noHBand="0" w:noVBand="1"/>
      </w:tblPr>
      <w:tblGrid>
        <w:gridCol w:w="3020"/>
        <w:gridCol w:w="1275"/>
        <w:gridCol w:w="1140"/>
        <w:gridCol w:w="1200"/>
        <w:gridCol w:w="1230"/>
        <w:gridCol w:w="1186"/>
      </w:tblGrid>
      <w:tr w:rsidR="00FA2B30" w:rsidRPr="00EA7071" w14:paraId="5E7EB3AD" w14:textId="77777777" w:rsidTr="4142874D">
        <w:trPr>
          <w:trHeight w:val="300"/>
        </w:trPr>
        <w:tc>
          <w:tcPr>
            <w:tcW w:w="3020" w:type="dxa"/>
            <w:shd w:val="clear" w:color="auto" w:fill="auto"/>
            <w:hideMark/>
          </w:tcPr>
          <w:p w14:paraId="19CE35CD" w14:textId="77777777" w:rsidR="00FA2B30" w:rsidRPr="00EA7071" w:rsidRDefault="00FA2B30" w:rsidP="00FA2B30">
            <w:pPr>
              <w:rPr>
                <w:rFonts w:eastAsia="Times New Roman" w:cs="Arial"/>
                <w:bCs/>
                <w:lang w:eastAsia="en-AU"/>
              </w:rPr>
            </w:pPr>
            <w:r w:rsidRPr="00EA7071">
              <w:rPr>
                <w:rFonts w:eastAsia="Times New Roman" w:cs="Arial"/>
                <w:bCs/>
                <w:lang w:eastAsia="en-AU"/>
              </w:rPr>
              <w:t>Debt agreement activity</w:t>
            </w:r>
          </w:p>
        </w:tc>
        <w:tc>
          <w:tcPr>
            <w:tcW w:w="1275" w:type="dxa"/>
          </w:tcPr>
          <w:p w14:paraId="482699C3" w14:textId="0FBDFEBE" w:rsidR="00FA2B30" w:rsidRDefault="00FA2B30" w:rsidP="00FA2B30">
            <w:pPr>
              <w:jc w:val="right"/>
              <w:rPr>
                <w:rFonts w:eastAsia="Times New Roman" w:cs="Arial"/>
                <w:lang w:eastAsia="en-AU"/>
              </w:rPr>
            </w:pPr>
            <w:r w:rsidRPr="66DA38CB">
              <w:rPr>
                <w:rFonts w:eastAsia="Times New Roman" w:cs="Arial"/>
                <w:lang w:eastAsia="en-AU"/>
              </w:rPr>
              <w:t>2018–19</w:t>
            </w:r>
          </w:p>
        </w:tc>
        <w:tc>
          <w:tcPr>
            <w:tcW w:w="1140" w:type="dxa"/>
          </w:tcPr>
          <w:p w14:paraId="3BF4E82E" w14:textId="368C357B" w:rsidR="00FA2B30" w:rsidRDefault="00FA2B30" w:rsidP="00FA2B30">
            <w:pPr>
              <w:jc w:val="right"/>
              <w:rPr>
                <w:rFonts w:eastAsia="Times New Roman" w:cs="Arial"/>
                <w:lang w:eastAsia="en-AU"/>
              </w:rPr>
            </w:pPr>
            <w:r w:rsidRPr="66DA38CB">
              <w:rPr>
                <w:rFonts w:eastAsia="Times New Roman" w:cs="Arial"/>
                <w:lang w:eastAsia="en-AU"/>
              </w:rPr>
              <w:t>2019–20</w:t>
            </w:r>
          </w:p>
        </w:tc>
        <w:tc>
          <w:tcPr>
            <w:tcW w:w="1200" w:type="dxa"/>
          </w:tcPr>
          <w:p w14:paraId="00A0B368" w14:textId="7A3144B2" w:rsidR="00FA2B30" w:rsidRDefault="00FA2B30" w:rsidP="00FA2B30">
            <w:pPr>
              <w:jc w:val="right"/>
              <w:rPr>
                <w:rFonts w:eastAsia="Times New Roman" w:cs="Arial"/>
                <w:lang w:eastAsia="en-AU"/>
              </w:rPr>
            </w:pPr>
            <w:r w:rsidRPr="66DA38CB">
              <w:rPr>
                <w:rFonts w:eastAsia="Times New Roman" w:cs="Arial"/>
                <w:lang w:eastAsia="en-AU"/>
              </w:rPr>
              <w:t>2020–21</w:t>
            </w:r>
          </w:p>
        </w:tc>
        <w:tc>
          <w:tcPr>
            <w:tcW w:w="1230" w:type="dxa"/>
          </w:tcPr>
          <w:p w14:paraId="7338C232" w14:textId="6841338C" w:rsidR="00FA2B30" w:rsidRDefault="00FA2B30" w:rsidP="00FA2B30">
            <w:pPr>
              <w:jc w:val="right"/>
              <w:rPr>
                <w:rFonts w:eastAsia="Times New Roman" w:cs="Arial"/>
                <w:lang w:eastAsia="en-AU"/>
              </w:rPr>
            </w:pPr>
            <w:r w:rsidRPr="66DA38CB">
              <w:rPr>
                <w:rFonts w:eastAsia="Times New Roman" w:cs="Arial"/>
                <w:lang w:eastAsia="en-AU"/>
              </w:rPr>
              <w:t>2021–22</w:t>
            </w:r>
          </w:p>
        </w:tc>
        <w:tc>
          <w:tcPr>
            <w:tcW w:w="1186" w:type="dxa"/>
            <w:shd w:val="clear" w:color="auto" w:fill="auto"/>
          </w:tcPr>
          <w:p w14:paraId="62E0A09E" w14:textId="27ED0599" w:rsidR="00FA2B30" w:rsidRPr="00EA7071" w:rsidRDefault="00FA2B30" w:rsidP="00FA2B30">
            <w:pPr>
              <w:jc w:val="right"/>
              <w:rPr>
                <w:rFonts w:eastAsia="Times New Roman" w:cs="Arial"/>
                <w:lang w:eastAsia="en-AU"/>
              </w:rPr>
            </w:pPr>
            <w:r w:rsidRPr="66DA38CB">
              <w:rPr>
                <w:rFonts w:eastAsia="Times New Roman" w:cs="Arial"/>
                <w:lang w:eastAsia="en-AU"/>
              </w:rPr>
              <w:t>202</w:t>
            </w:r>
            <w:r>
              <w:rPr>
                <w:rFonts w:eastAsia="Times New Roman" w:cs="Arial"/>
                <w:lang w:eastAsia="en-AU"/>
              </w:rPr>
              <w:t>2</w:t>
            </w:r>
            <w:r w:rsidRPr="66DA38CB">
              <w:rPr>
                <w:rFonts w:eastAsia="Times New Roman" w:cs="Arial"/>
                <w:lang w:eastAsia="en-AU"/>
              </w:rPr>
              <w:t>–2</w:t>
            </w:r>
            <w:r>
              <w:rPr>
                <w:rFonts w:eastAsia="Times New Roman" w:cs="Arial"/>
                <w:lang w:eastAsia="en-AU"/>
              </w:rPr>
              <w:t>3</w:t>
            </w:r>
          </w:p>
        </w:tc>
      </w:tr>
      <w:tr w:rsidR="00FA2B30" w:rsidRPr="00EA7071" w14:paraId="7E0AD63A" w14:textId="77777777" w:rsidTr="4142874D">
        <w:trPr>
          <w:trHeight w:val="300"/>
        </w:trPr>
        <w:tc>
          <w:tcPr>
            <w:tcW w:w="3020" w:type="dxa"/>
            <w:shd w:val="clear" w:color="auto" w:fill="auto"/>
            <w:hideMark/>
          </w:tcPr>
          <w:p w14:paraId="3DBFCB5D" w14:textId="77777777" w:rsidR="00FA2B30" w:rsidRPr="00EA7071" w:rsidRDefault="00FA2B30" w:rsidP="00FA2B30">
            <w:pPr>
              <w:rPr>
                <w:rFonts w:eastAsia="Times New Roman" w:cs="Arial"/>
                <w:lang w:eastAsia="en-AU"/>
              </w:rPr>
            </w:pPr>
            <w:r w:rsidRPr="00EA7071">
              <w:rPr>
                <w:rFonts w:eastAsia="Times New Roman" w:cs="Arial"/>
                <w:lang w:eastAsia="en-AU"/>
              </w:rPr>
              <w:t>Debt agreement proposals received</w:t>
            </w:r>
          </w:p>
        </w:tc>
        <w:tc>
          <w:tcPr>
            <w:tcW w:w="1275" w:type="dxa"/>
          </w:tcPr>
          <w:p w14:paraId="1F81B425" w14:textId="0B64DE4B" w:rsidR="00FA2B30" w:rsidRDefault="00FA2B30" w:rsidP="00FA2B30">
            <w:pPr>
              <w:jc w:val="right"/>
            </w:pPr>
            <w:r>
              <w:t>13,579</w:t>
            </w:r>
          </w:p>
        </w:tc>
        <w:tc>
          <w:tcPr>
            <w:tcW w:w="1140" w:type="dxa"/>
          </w:tcPr>
          <w:p w14:paraId="7231A13C" w14:textId="0A6841D8" w:rsidR="00FA2B30" w:rsidRDefault="00FA2B30" w:rsidP="00FA2B30">
            <w:pPr>
              <w:jc w:val="right"/>
            </w:pPr>
            <w:r>
              <w:t>9,461</w:t>
            </w:r>
          </w:p>
        </w:tc>
        <w:tc>
          <w:tcPr>
            <w:tcW w:w="1200" w:type="dxa"/>
          </w:tcPr>
          <w:p w14:paraId="7F58C7D0" w14:textId="4C533E14" w:rsidR="00FA2B30" w:rsidRDefault="00FA2B30" w:rsidP="00FA2B30">
            <w:pPr>
              <w:jc w:val="right"/>
            </w:pPr>
            <w:r>
              <w:t>4,488</w:t>
            </w:r>
          </w:p>
        </w:tc>
        <w:tc>
          <w:tcPr>
            <w:tcW w:w="1230" w:type="dxa"/>
          </w:tcPr>
          <w:p w14:paraId="0D3DEABF" w14:textId="702CE954" w:rsidR="00FA2B30" w:rsidRDefault="00FA2B30" w:rsidP="00FA2B30">
            <w:pPr>
              <w:jc w:val="right"/>
            </w:pPr>
            <w:r>
              <w:t>4,250</w:t>
            </w:r>
          </w:p>
        </w:tc>
        <w:tc>
          <w:tcPr>
            <w:tcW w:w="1186" w:type="dxa"/>
            <w:shd w:val="clear" w:color="auto" w:fill="auto"/>
          </w:tcPr>
          <w:p w14:paraId="1FAAFF24" w14:textId="76BBED41" w:rsidR="00FA2B30" w:rsidRPr="00EA7071" w:rsidRDefault="00A1473D" w:rsidP="00FA2B30">
            <w:pPr>
              <w:jc w:val="right"/>
            </w:pPr>
            <w:r>
              <w:t>5</w:t>
            </w:r>
            <w:r w:rsidR="00FA2B30">
              <w:t>,2</w:t>
            </w:r>
            <w:r>
              <w:t>76</w:t>
            </w:r>
          </w:p>
        </w:tc>
      </w:tr>
      <w:tr w:rsidR="00FA2B30" w:rsidRPr="00EA7071" w14:paraId="7459C7CF" w14:textId="77777777" w:rsidTr="4142874D">
        <w:trPr>
          <w:trHeight w:val="300"/>
        </w:trPr>
        <w:tc>
          <w:tcPr>
            <w:tcW w:w="3020" w:type="dxa"/>
            <w:shd w:val="clear" w:color="auto" w:fill="auto"/>
            <w:hideMark/>
          </w:tcPr>
          <w:p w14:paraId="00C95A39" w14:textId="77777777" w:rsidR="00FA2B30" w:rsidRPr="00EA7071" w:rsidRDefault="00FA2B30" w:rsidP="00FA2B30">
            <w:pPr>
              <w:rPr>
                <w:rFonts w:eastAsia="Times New Roman" w:cs="Arial"/>
                <w:lang w:eastAsia="en-AU"/>
              </w:rPr>
            </w:pPr>
            <w:r w:rsidRPr="00EA7071">
              <w:rPr>
                <w:rFonts w:eastAsia="Times New Roman" w:cs="Arial"/>
                <w:lang w:eastAsia="en-AU"/>
              </w:rPr>
              <w:t>Proposals rejected by Official Receiver</w:t>
            </w:r>
          </w:p>
        </w:tc>
        <w:tc>
          <w:tcPr>
            <w:tcW w:w="1275" w:type="dxa"/>
          </w:tcPr>
          <w:p w14:paraId="3DB8509A" w14:textId="509E436C" w:rsidR="00FA2B30" w:rsidRDefault="00FA2B30" w:rsidP="00FA2B30">
            <w:pPr>
              <w:jc w:val="right"/>
            </w:pPr>
            <w:r>
              <w:t>565</w:t>
            </w:r>
          </w:p>
        </w:tc>
        <w:tc>
          <w:tcPr>
            <w:tcW w:w="1140" w:type="dxa"/>
          </w:tcPr>
          <w:p w14:paraId="4B7F88C9" w14:textId="65D39D40" w:rsidR="00FA2B30" w:rsidRDefault="00FA2B30" w:rsidP="00FA2B30">
            <w:pPr>
              <w:jc w:val="right"/>
            </w:pPr>
            <w:r>
              <w:t>539</w:t>
            </w:r>
          </w:p>
        </w:tc>
        <w:tc>
          <w:tcPr>
            <w:tcW w:w="1200" w:type="dxa"/>
          </w:tcPr>
          <w:p w14:paraId="7D848031" w14:textId="1D5C38DC" w:rsidR="00FA2B30" w:rsidRDefault="00FA2B30" w:rsidP="00FA2B30">
            <w:pPr>
              <w:jc w:val="right"/>
            </w:pPr>
            <w:r>
              <w:t>337</w:t>
            </w:r>
          </w:p>
        </w:tc>
        <w:tc>
          <w:tcPr>
            <w:tcW w:w="1230" w:type="dxa"/>
          </w:tcPr>
          <w:p w14:paraId="48F0F7F2" w14:textId="2DDADCF6" w:rsidR="00FA2B30" w:rsidRDefault="00FA2B30" w:rsidP="00FA2B30">
            <w:pPr>
              <w:jc w:val="right"/>
            </w:pPr>
            <w:r>
              <w:t>288</w:t>
            </w:r>
          </w:p>
        </w:tc>
        <w:tc>
          <w:tcPr>
            <w:tcW w:w="1186" w:type="dxa"/>
            <w:shd w:val="clear" w:color="auto" w:fill="auto"/>
          </w:tcPr>
          <w:p w14:paraId="6A3AFF1C" w14:textId="131856D9" w:rsidR="00FA2B30" w:rsidRPr="00EA7071" w:rsidRDefault="00A1473D" w:rsidP="00FA2B30">
            <w:pPr>
              <w:jc w:val="right"/>
            </w:pPr>
            <w:r>
              <w:t>470</w:t>
            </w:r>
          </w:p>
        </w:tc>
      </w:tr>
      <w:tr w:rsidR="00FA2B30" w:rsidRPr="00EA7071" w14:paraId="64784E1B" w14:textId="77777777" w:rsidTr="4142874D">
        <w:trPr>
          <w:trHeight w:val="482"/>
        </w:trPr>
        <w:tc>
          <w:tcPr>
            <w:tcW w:w="3020" w:type="dxa"/>
            <w:shd w:val="clear" w:color="auto" w:fill="auto"/>
            <w:hideMark/>
          </w:tcPr>
          <w:p w14:paraId="33534CF5" w14:textId="77777777" w:rsidR="00FA2B30" w:rsidRPr="00EA7071" w:rsidRDefault="00FA2B30" w:rsidP="00FA2B30">
            <w:pPr>
              <w:rPr>
                <w:rFonts w:eastAsia="Times New Roman" w:cs="Arial"/>
                <w:lang w:eastAsia="en-AU"/>
              </w:rPr>
            </w:pPr>
            <w:r w:rsidRPr="00EA7071">
              <w:rPr>
                <w:rFonts w:eastAsia="Times New Roman" w:cs="Arial"/>
                <w:lang w:eastAsia="en-AU"/>
              </w:rPr>
              <w:t>Proposals accepted by Official Receiver for creditor vote</w:t>
            </w:r>
          </w:p>
        </w:tc>
        <w:tc>
          <w:tcPr>
            <w:tcW w:w="1275" w:type="dxa"/>
          </w:tcPr>
          <w:p w14:paraId="71176C53" w14:textId="166E7B7B" w:rsidR="00FA2B30" w:rsidRDefault="00FA2B30" w:rsidP="00FA2B30">
            <w:pPr>
              <w:jc w:val="right"/>
            </w:pPr>
            <w:r>
              <w:t>12,992</w:t>
            </w:r>
          </w:p>
        </w:tc>
        <w:tc>
          <w:tcPr>
            <w:tcW w:w="1140" w:type="dxa"/>
          </w:tcPr>
          <w:p w14:paraId="20D867E9" w14:textId="08941135" w:rsidR="00FA2B30" w:rsidRDefault="00FA2B30" w:rsidP="00FA2B30">
            <w:pPr>
              <w:jc w:val="right"/>
            </w:pPr>
            <w:r>
              <w:t>8,908</w:t>
            </w:r>
          </w:p>
        </w:tc>
        <w:tc>
          <w:tcPr>
            <w:tcW w:w="1200" w:type="dxa"/>
          </w:tcPr>
          <w:p w14:paraId="5C9C903B" w14:textId="3C47D632" w:rsidR="00FA2B30" w:rsidRDefault="00FA2B30" w:rsidP="00FA2B30">
            <w:pPr>
              <w:jc w:val="right"/>
            </w:pPr>
            <w:r>
              <w:t>4,143</w:t>
            </w:r>
          </w:p>
        </w:tc>
        <w:tc>
          <w:tcPr>
            <w:tcW w:w="1230" w:type="dxa"/>
          </w:tcPr>
          <w:p w14:paraId="5954C12A" w14:textId="7B95D0AC" w:rsidR="00FA2B30" w:rsidRDefault="00FA2B30" w:rsidP="00FA2B30">
            <w:pPr>
              <w:jc w:val="right"/>
            </w:pPr>
            <w:r>
              <w:t>3,960</w:t>
            </w:r>
          </w:p>
        </w:tc>
        <w:tc>
          <w:tcPr>
            <w:tcW w:w="1186" w:type="dxa"/>
            <w:shd w:val="clear" w:color="auto" w:fill="auto"/>
          </w:tcPr>
          <w:p w14:paraId="61CBDA08" w14:textId="75D0DA90" w:rsidR="00FA2B30" w:rsidRPr="00EA7071" w:rsidRDefault="00A1473D" w:rsidP="00FA2B30">
            <w:pPr>
              <w:jc w:val="right"/>
            </w:pPr>
            <w:r>
              <w:t>4</w:t>
            </w:r>
            <w:r w:rsidR="00FA2B30">
              <w:t>,</w:t>
            </w:r>
            <w:r>
              <w:t>80</w:t>
            </w:r>
            <w:r w:rsidR="00FA2B30">
              <w:t>0</w:t>
            </w:r>
          </w:p>
        </w:tc>
      </w:tr>
      <w:tr w:rsidR="00FA2B30" w:rsidRPr="00EA7071" w14:paraId="527C4BEB" w14:textId="77777777" w:rsidTr="4142874D">
        <w:trPr>
          <w:trHeight w:val="502"/>
        </w:trPr>
        <w:tc>
          <w:tcPr>
            <w:tcW w:w="3020" w:type="dxa"/>
            <w:shd w:val="clear" w:color="auto" w:fill="auto"/>
            <w:hideMark/>
          </w:tcPr>
          <w:p w14:paraId="76593C8B" w14:textId="77777777" w:rsidR="00FA2B30" w:rsidRPr="00EA7071" w:rsidRDefault="00FA2B30" w:rsidP="00FA2B30">
            <w:pPr>
              <w:rPr>
                <w:rFonts w:eastAsia="Times New Roman" w:cs="Arial"/>
                <w:lang w:eastAsia="en-AU"/>
              </w:rPr>
            </w:pPr>
            <w:r w:rsidRPr="00EA7071">
              <w:rPr>
                <w:rFonts w:eastAsia="Times New Roman" w:cs="Arial"/>
                <w:lang w:eastAsia="en-AU"/>
              </w:rPr>
              <w:t>Proposals cancelled by Official Receiver during voting period</w:t>
            </w:r>
          </w:p>
        </w:tc>
        <w:tc>
          <w:tcPr>
            <w:tcW w:w="1275" w:type="dxa"/>
          </w:tcPr>
          <w:p w14:paraId="38F33BC7" w14:textId="0D7DE7EE" w:rsidR="00FA2B30" w:rsidRDefault="00FA2B30" w:rsidP="00FA2B30">
            <w:pPr>
              <w:jc w:val="right"/>
            </w:pPr>
            <w:r>
              <w:t>448</w:t>
            </w:r>
          </w:p>
        </w:tc>
        <w:tc>
          <w:tcPr>
            <w:tcW w:w="1140" w:type="dxa"/>
          </w:tcPr>
          <w:p w14:paraId="37875D74" w14:textId="0C60A319" w:rsidR="00FA2B30" w:rsidRDefault="00FA2B30" w:rsidP="00FA2B30">
            <w:pPr>
              <w:jc w:val="right"/>
            </w:pPr>
            <w:r>
              <w:t>288</w:t>
            </w:r>
          </w:p>
        </w:tc>
        <w:tc>
          <w:tcPr>
            <w:tcW w:w="1200" w:type="dxa"/>
          </w:tcPr>
          <w:p w14:paraId="28DDBCCD" w14:textId="0F04FBB3" w:rsidR="00FA2B30" w:rsidRDefault="00FA2B30" w:rsidP="00FA2B30">
            <w:pPr>
              <w:jc w:val="right"/>
            </w:pPr>
            <w:r>
              <w:t>133</w:t>
            </w:r>
          </w:p>
        </w:tc>
        <w:tc>
          <w:tcPr>
            <w:tcW w:w="1230" w:type="dxa"/>
          </w:tcPr>
          <w:p w14:paraId="37ADADD3" w14:textId="16EAC142" w:rsidR="00FA2B30" w:rsidRDefault="00FA2B30" w:rsidP="00FA2B30">
            <w:pPr>
              <w:jc w:val="right"/>
            </w:pPr>
            <w:r>
              <w:t>113</w:t>
            </w:r>
          </w:p>
        </w:tc>
        <w:tc>
          <w:tcPr>
            <w:tcW w:w="1186" w:type="dxa"/>
            <w:shd w:val="clear" w:color="auto" w:fill="auto"/>
          </w:tcPr>
          <w:p w14:paraId="11FDD90C" w14:textId="71D77936" w:rsidR="00FA2B30" w:rsidRPr="00EA7071" w:rsidRDefault="00FA2B30" w:rsidP="00FA2B30">
            <w:pPr>
              <w:jc w:val="right"/>
            </w:pPr>
            <w:r>
              <w:t>11</w:t>
            </w:r>
            <w:r w:rsidR="00A1473D">
              <w:t>5</w:t>
            </w:r>
          </w:p>
        </w:tc>
      </w:tr>
      <w:tr w:rsidR="00FA2B30" w:rsidRPr="00EA7071" w14:paraId="4AC55711" w14:textId="77777777" w:rsidTr="4142874D">
        <w:trPr>
          <w:trHeight w:val="300"/>
        </w:trPr>
        <w:tc>
          <w:tcPr>
            <w:tcW w:w="3020" w:type="dxa"/>
            <w:shd w:val="clear" w:color="auto" w:fill="auto"/>
            <w:hideMark/>
          </w:tcPr>
          <w:p w14:paraId="057956CF" w14:textId="77777777" w:rsidR="00FA2B30" w:rsidRPr="00EA7071" w:rsidRDefault="00FA2B30" w:rsidP="00FA2B30">
            <w:pPr>
              <w:rPr>
                <w:rFonts w:eastAsia="Times New Roman" w:cs="Arial"/>
                <w:bCs/>
                <w:lang w:eastAsia="en-AU"/>
              </w:rPr>
            </w:pPr>
            <w:r w:rsidRPr="00EA7071">
              <w:rPr>
                <w:rFonts w:eastAsia="Times New Roman" w:cs="Arial"/>
                <w:bCs/>
                <w:lang w:eastAsia="en-AU"/>
              </w:rPr>
              <w:t>Proposals reaching voting deadline</w:t>
            </w:r>
          </w:p>
        </w:tc>
        <w:tc>
          <w:tcPr>
            <w:tcW w:w="1275" w:type="dxa"/>
          </w:tcPr>
          <w:p w14:paraId="19500E7A" w14:textId="1BA54B24" w:rsidR="00FA2B30" w:rsidRDefault="00FA2B30" w:rsidP="00FA2B30">
            <w:pPr>
              <w:jc w:val="right"/>
            </w:pPr>
            <w:r>
              <w:t>12,544</w:t>
            </w:r>
          </w:p>
        </w:tc>
        <w:tc>
          <w:tcPr>
            <w:tcW w:w="1140" w:type="dxa"/>
          </w:tcPr>
          <w:p w14:paraId="771E08B3" w14:textId="551215BC" w:rsidR="00FA2B30" w:rsidRDefault="00FA2B30" w:rsidP="00FA2B30">
            <w:pPr>
              <w:jc w:val="right"/>
            </w:pPr>
            <w:r>
              <w:t>8,620</w:t>
            </w:r>
          </w:p>
        </w:tc>
        <w:tc>
          <w:tcPr>
            <w:tcW w:w="1200" w:type="dxa"/>
          </w:tcPr>
          <w:p w14:paraId="79F2464E" w14:textId="6339D13A" w:rsidR="00FA2B30" w:rsidRDefault="00FA2B30" w:rsidP="00FA2B30">
            <w:pPr>
              <w:jc w:val="right"/>
            </w:pPr>
            <w:r>
              <w:t>4,010</w:t>
            </w:r>
          </w:p>
        </w:tc>
        <w:tc>
          <w:tcPr>
            <w:tcW w:w="1230" w:type="dxa"/>
          </w:tcPr>
          <w:p w14:paraId="70D7B2CC" w14:textId="2B02F963" w:rsidR="00FA2B30" w:rsidRDefault="00FA2B30" w:rsidP="00FA2B30">
            <w:pPr>
              <w:jc w:val="right"/>
            </w:pPr>
            <w:r>
              <w:t>3,847</w:t>
            </w:r>
          </w:p>
        </w:tc>
        <w:tc>
          <w:tcPr>
            <w:tcW w:w="1186" w:type="dxa"/>
            <w:shd w:val="clear" w:color="auto" w:fill="auto"/>
          </w:tcPr>
          <w:p w14:paraId="236DEA61" w14:textId="0A7EFF96" w:rsidR="00FA2B30" w:rsidRPr="00EA7071" w:rsidRDefault="00BB7CED" w:rsidP="00FA2B30">
            <w:pPr>
              <w:jc w:val="right"/>
            </w:pPr>
            <w:r>
              <w:t>4</w:t>
            </w:r>
            <w:r w:rsidR="00FA2B30">
              <w:t>,</w:t>
            </w:r>
            <w:r>
              <w:t>6</w:t>
            </w:r>
            <w:r w:rsidR="00FA2B30">
              <w:t>8</w:t>
            </w:r>
            <w:r>
              <w:t>5</w:t>
            </w:r>
          </w:p>
        </w:tc>
      </w:tr>
    </w:tbl>
    <w:p w14:paraId="0FA9FA20" w14:textId="77777777" w:rsidR="001E492F" w:rsidRPr="00EA7071" w:rsidRDefault="001E492F" w:rsidP="001E492F">
      <w:r w:rsidRPr="00EA7071">
        <w:t>Note: Due to changes in processing timings, systems changes and delays in status updates, these tables may not reconcile fully. We released the debt agreements online service</w:t>
      </w:r>
      <w:r w:rsidRPr="00EA7071">
        <w:rPr>
          <w:lang w:val="en"/>
        </w:rPr>
        <w:t xml:space="preserve"> in January 2018.</w:t>
      </w:r>
    </w:p>
    <w:p w14:paraId="06ED5407" w14:textId="3538C47D" w:rsidR="001E492F" w:rsidRPr="00EA7071" w:rsidRDefault="43A6A6FB" w:rsidP="001E492F">
      <w:pPr>
        <w:pStyle w:val="Heading3"/>
      </w:pPr>
      <w:r>
        <w:t>Outcome of proposals that reached voting deadline as at 30 June 20</w:t>
      </w:r>
      <w:r w:rsidR="1AA48586">
        <w:t>2</w:t>
      </w:r>
      <w:r w:rsidR="00974B30">
        <w:t>3</w:t>
      </w:r>
    </w:p>
    <w:p w14:paraId="59BD3F12" w14:textId="3587B9A8" w:rsidR="001E492F" w:rsidRPr="00EA7071" w:rsidRDefault="43A6A6FB" w:rsidP="001E492F">
      <w:r>
        <w:t>As at 30 June 20</w:t>
      </w:r>
      <w:r w:rsidR="1AA48586">
        <w:t>2</w:t>
      </w:r>
      <w:r w:rsidR="009857F8">
        <w:t>3</w:t>
      </w:r>
      <w:r>
        <w:t xml:space="preserve">, creditors accepted </w:t>
      </w:r>
      <w:r w:rsidR="009857F8">
        <w:t>4</w:t>
      </w:r>
      <w:r w:rsidR="7AC93606">
        <w:t>,</w:t>
      </w:r>
      <w:r w:rsidR="009857F8">
        <w:t>685</w:t>
      </w:r>
      <w:r>
        <w:t xml:space="preserve"> debt agreement proposals in 20</w:t>
      </w:r>
      <w:r w:rsidR="1AA48586">
        <w:t>2</w:t>
      </w:r>
      <w:r w:rsidR="009857F8">
        <w:t>2</w:t>
      </w:r>
      <w:r>
        <w:t>–</w:t>
      </w:r>
      <w:r w:rsidR="1AA48586">
        <w:t>2</w:t>
      </w:r>
      <w:r w:rsidR="009857F8">
        <w:t>3</w:t>
      </w:r>
      <w:r>
        <w:t xml:space="preserve"> that reached the voting deadline. </w:t>
      </w:r>
    </w:p>
    <w:p w14:paraId="4C298E06" w14:textId="5ACEDC4F" w:rsidR="001E492F" w:rsidRPr="00EA7071" w:rsidRDefault="43A6A6FB" w:rsidP="001E492F">
      <w:pPr>
        <w:rPr>
          <w:rFonts w:cs="Arial"/>
        </w:rPr>
      </w:pPr>
      <w:r w:rsidRPr="66DA38CB">
        <w:rPr>
          <w:rFonts w:cs="Arial"/>
        </w:rPr>
        <w:t>This table shows a progressive summary of the outcome of debt agreement proposals that reached the voting deadline as at 30 June 20</w:t>
      </w:r>
      <w:r w:rsidR="1AA48586" w:rsidRPr="66DA38CB">
        <w:rPr>
          <w:rFonts w:cs="Arial"/>
        </w:rPr>
        <w:t>2</w:t>
      </w:r>
      <w:r w:rsidR="009857F8">
        <w:rPr>
          <w:rFonts w:cs="Arial"/>
        </w:rPr>
        <w:t>3</w:t>
      </w:r>
      <w:r w:rsidRPr="66DA38CB">
        <w:rPr>
          <w:rFonts w:cs="Arial"/>
        </w:rPr>
        <w:t>. We report these figures based on the date of lodgement of debt agreement proposals. These tables may not reconcile with figures provided in other tables.</w:t>
      </w:r>
    </w:p>
    <w:tbl>
      <w:tblPr>
        <w:tblStyle w:val="TableGrid"/>
        <w:tblW w:w="8945" w:type="dxa"/>
        <w:shd w:val="clear" w:color="auto" w:fill="FF0000"/>
        <w:tblLook w:val="04A0" w:firstRow="1" w:lastRow="0" w:firstColumn="1" w:lastColumn="0" w:noHBand="0" w:noVBand="1"/>
      </w:tblPr>
      <w:tblGrid>
        <w:gridCol w:w="2190"/>
        <w:gridCol w:w="1320"/>
        <w:gridCol w:w="1305"/>
        <w:gridCol w:w="1335"/>
        <w:gridCol w:w="1370"/>
        <w:gridCol w:w="1425"/>
      </w:tblGrid>
      <w:tr w:rsidR="00974B30" w:rsidRPr="00EA7071" w14:paraId="158233A7" w14:textId="77777777" w:rsidTr="4142874D">
        <w:tc>
          <w:tcPr>
            <w:tcW w:w="2190" w:type="dxa"/>
            <w:shd w:val="clear" w:color="auto" w:fill="auto"/>
          </w:tcPr>
          <w:p w14:paraId="713A5903" w14:textId="77777777" w:rsidR="00974B30" w:rsidRPr="00EA7071" w:rsidRDefault="00974B30" w:rsidP="00974B30">
            <w:pPr>
              <w:rPr>
                <w:rFonts w:cs="Arial"/>
                <w:bCs/>
              </w:rPr>
            </w:pPr>
            <w:r w:rsidRPr="00EA7071">
              <w:rPr>
                <w:rFonts w:cs="Arial"/>
                <w:bCs/>
              </w:rPr>
              <w:t>Debt agreement activity</w:t>
            </w:r>
          </w:p>
        </w:tc>
        <w:tc>
          <w:tcPr>
            <w:tcW w:w="1320" w:type="dxa"/>
          </w:tcPr>
          <w:p w14:paraId="337D1789" w14:textId="071ED6A9" w:rsidR="00974B30" w:rsidRDefault="00974B30" w:rsidP="00974B30">
            <w:pPr>
              <w:jc w:val="right"/>
              <w:rPr>
                <w:rFonts w:cs="Arial"/>
              </w:rPr>
            </w:pPr>
            <w:r w:rsidRPr="66DA38CB">
              <w:rPr>
                <w:rFonts w:eastAsia="Times New Roman" w:cs="Arial"/>
                <w:lang w:eastAsia="en-AU"/>
              </w:rPr>
              <w:t>2018–19</w:t>
            </w:r>
          </w:p>
        </w:tc>
        <w:tc>
          <w:tcPr>
            <w:tcW w:w="1305" w:type="dxa"/>
          </w:tcPr>
          <w:p w14:paraId="68DF18BD" w14:textId="21D73388" w:rsidR="00974B30" w:rsidRDefault="00974B30" w:rsidP="00974B30">
            <w:pPr>
              <w:jc w:val="right"/>
              <w:rPr>
                <w:rFonts w:cs="Arial"/>
              </w:rPr>
            </w:pPr>
            <w:r w:rsidRPr="66DA38CB">
              <w:rPr>
                <w:rFonts w:eastAsia="Times New Roman" w:cs="Arial"/>
                <w:lang w:eastAsia="en-AU"/>
              </w:rPr>
              <w:t>2019–20</w:t>
            </w:r>
          </w:p>
        </w:tc>
        <w:tc>
          <w:tcPr>
            <w:tcW w:w="1335" w:type="dxa"/>
          </w:tcPr>
          <w:p w14:paraId="3AF97915" w14:textId="60CE677E" w:rsidR="00974B30" w:rsidRDefault="00974B30" w:rsidP="00974B30">
            <w:pPr>
              <w:jc w:val="right"/>
              <w:rPr>
                <w:rFonts w:cs="Arial"/>
              </w:rPr>
            </w:pPr>
            <w:r w:rsidRPr="66DA38CB">
              <w:rPr>
                <w:rFonts w:eastAsia="Times New Roman" w:cs="Arial"/>
                <w:lang w:eastAsia="en-AU"/>
              </w:rPr>
              <w:t>2020–21</w:t>
            </w:r>
          </w:p>
        </w:tc>
        <w:tc>
          <w:tcPr>
            <w:tcW w:w="1370" w:type="dxa"/>
          </w:tcPr>
          <w:p w14:paraId="5F450EB9" w14:textId="6C473B83" w:rsidR="00974B30" w:rsidRDefault="00974B30" w:rsidP="00974B30">
            <w:pPr>
              <w:jc w:val="right"/>
              <w:rPr>
                <w:rFonts w:cs="Arial"/>
              </w:rPr>
            </w:pPr>
            <w:r w:rsidRPr="66DA38CB">
              <w:rPr>
                <w:rFonts w:eastAsia="Times New Roman" w:cs="Arial"/>
                <w:lang w:eastAsia="en-AU"/>
              </w:rPr>
              <w:t>2021–22</w:t>
            </w:r>
          </w:p>
        </w:tc>
        <w:tc>
          <w:tcPr>
            <w:tcW w:w="1425" w:type="dxa"/>
            <w:shd w:val="clear" w:color="auto" w:fill="auto"/>
          </w:tcPr>
          <w:p w14:paraId="1A82584D" w14:textId="2C48038B" w:rsidR="00974B30" w:rsidRPr="00EA7071" w:rsidRDefault="00974B30" w:rsidP="00974B30">
            <w:pPr>
              <w:jc w:val="right"/>
              <w:rPr>
                <w:rFonts w:eastAsia="Times New Roman" w:cs="Arial"/>
                <w:lang w:eastAsia="en-AU"/>
              </w:rPr>
            </w:pPr>
            <w:r w:rsidRPr="66DA38CB">
              <w:rPr>
                <w:rFonts w:eastAsia="Times New Roman" w:cs="Arial"/>
                <w:lang w:eastAsia="en-AU"/>
              </w:rPr>
              <w:t>202</w:t>
            </w:r>
            <w:r w:rsidR="00C716E4">
              <w:rPr>
                <w:rFonts w:eastAsia="Times New Roman" w:cs="Arial"/>
                <w:lang w:eastAsia="en-AU"/>
              </w:rPr>
              <w:t>2</w:t>
            </w:r>
            <w:r w:rsidRPr="66DA38CB">
              <w:rPr>
                <w:rFonts w:eastAsia="Times New Roman" w:cs="Arial"/>
                <w:lang w:eastAsia="en-AU"/>
              </w:rPr>
              <w:t>–2</w:t>
            </w:r>
            <w:r w:rsidR="00C716E4">
              <w:rPr>
                <w:rFonts w:eastAsia="Times New Roman" w:cs="Arial"/>
                <w:lang w:eastAsia="en-AU"/>
              </w:rPr>
              <w:t>3</w:t>
            </w:r>
          </w:p>
        </w:tc>
      </w:tr>
      <w:tr w:rsidR="00974B30" w:rsidRPr="00EA7071" w14:paraId="6724D6AF" w14:textId="77777777" w:rsidTr="4142874D">
        <w:tc>
          <w:tcPr>
            <w:tcW w:w="2190" w:type="dxa"/>
            <w:shd w:val="clear" w:color="auto" w:fill="auto"/>
          </w:tcPr>
          <w:p w14:paraId="3F04518E" w14:textId="77777777" w:rsidR="00974B30" w:rsidRPr="00EA7071" w:rsidRDefault="00974B30" w:rsidP="00974B30">
            <w:pPr>
              <w:rPr>
                <w:rFonts w:cs="Arial"/>
              </w:rPr>
            </w:pPr>
            <w:r w:rsidRPr="00EA7071">
              <w:rPr>
                <w:rFonts w:cs="Arial"/>
              </w:rPr>
              <w:t>Reached voting deadline</w:t>
            </w:r>
          </w:p>
        </w:tc>
        <w:tc>
          <w:tcPr>
            <w:tcW w:w="1320" w:type="dxa"/>
          </w:tcPr>
          <w:p w14:paraId="5DC03F35" w14:textId="68494877" w:rsidR="00974B30" w:rsidRDefault="00974B30" w:rsidP="00974B30">
            <w:pPr>
              <w:jc w:val="right"/>
            </w:pPr>
            <w:r>
              <w:t>12,544</w:t>
            </w:r>
          </w:p>
        </w:tc>
        <w:tc>
          <w:tcPr>
            <w:tcW w:w="1305" w:type="dxa"/>
          </w:tcPr>
          <w:p w14:paraId="6FDAA40B" w14:textId="37C3B4FF" w:rsidR="00974B30" w:rsidRDefault="00974B30" w:rsidP="00974B30">
            <w:pPr>
              <w:jc w:val="right"/>
            </w:pPr>
            <w:r>
              <w:t>8,620</w:t>
            </w:r>
          </w:p>
        </w:tc>
        <w:tc>
          <w:tcPr>
            <w:tcW w:w="1335" w:type="dxa"/>
          </w:tcPr>
          <w:p w14:paraId="74BE016C" w14:textId="1EBB3EF9" w:rsidR="00974B30" w:rsidRDefault="00974B30" w:rsidP="00974B30">
            <w:pPr>
              <w:jc w:val="right"/>
            </w:pPr>
            <w:r>
              <w:t>4,010</w:t>
            </w:r>
          </w:p>
        </w:tc>
        <w:tc>
          <w:tcPr>
            <w:tcW w:w="1370" w:type="dxa"/>
          </w:tcPr>
          <w:p w14:paraId="5F98E3F9" w14:textId="0AC7EE48" w:rsidR="00974B30" w:rsidRDefault="00974B30" w:rsidP="00974B30">
            <w:pPr>
              <w:jc w:val="right"/>
            </w:pPr>
            <w:r>
              <w:t>3,847</w:t>
            </w:r>
          </w:p>
        </w:tc>
        <w:tc>
          <w:tcPr>
            <w:tcW w:w="1425" w:type="dxa"/>
            <w:shd w:val="clear" w:color="auto" w:fill="auto"/>
          </w:tcPr>
          <w:p w14:paraId="6FC4ACC4" w14:textId="6341E83E" w:rsidR="00974B30" w:rsidRPr="00EA7071" w:rsidRDefault="00E25702" w:rsidP="00974B30">
            <w:pPr>
              <w:jc w:val="right"/>
            </w:pPr>
            <w:r>
              <w:t>4</w:t>
            </w:r>
            <w:r w:rsidR="00974B30">
              <w:t>,</w:t>
            </w:r>
            <w:r>
              <w:t>6</w:t>
            </w:r>
            <w:r w:rsidR="00974B30">
              <w:t>8</w:t>
            </w:r>
            <w:r>
              <w:t>5</w:t>
            </w:r>
          </w:p>
        </w:tc>
      </w:tr>
      <w:tr w:rsidR="00974B30" w:rsidRPr="00EA7071" w14:paraId="12CFB6C9" w14:textId="77777777" w:rsidTr="4142874D">
        <w:tc>
          <w:tcPr>
            <w:tcW w:w="2190" w:type="dxa"/>
            <w:shd w:val="clear" w:color="auto" w:fill="auto"/>
          </w:tcPr>
          <w:p w14:paraId="0B4CDE9B" w14:textId="77777777" w:rsidR="00974B30" w:rsidRPr="00EA7071" w:rsidRDefault="00974B30" w:rsidP="00974B30">
            <w:pPr>
              <w:rPr>
                <w:rFonts w:cs="Arial"/>
              </w:rPr>
            </w:pPr>
            <w:r w:rsidRPr="00EA7071">
              <w:rPr>
                <w:rFonts w:cs="Arial"/>
              </w:rPr>
              <w:t>Rejected by creditors or no vote received</w:t>
            </w:r>
          </w:p>
        </w:tc>
        <w:tc>
          <w:tcPr>
            <w:tcW w:w="1320" w:type="dxa"/>
          </w:tcPr>
          <w:p w14:paraId="69FBF299" w14:textId="1327BCD0" w:rsidR="00974B30" w:rsidRDefault="00974B30" w:rsidP="00974B30">
            <w:pPr>
              <w:jc w:val="right"/>
            </w:pPr>
            <w:r>
              <w:t>1,047</w:t>
            </w:r>
          </w:p>
        </w:tc>
        <w:tc>
          <w:tcPr>
            <w:tcW w:w="1305" w:type="dxa"/>
          </w:tcPr>
          <w:p w14:paraId="6E875DAE" w14:textId="1F8D2206" w:rsidR="00974B30" w:rsidRDefault="00974B30" w:rsidP="00974B30">
            <w:pPr>
              <w:jc w:val="right"/>
            </w:pPr>
            <w:r>
              <w:t>1,304</w:t>
            </w:r>
          </w:p>
        </w:tc>
        <w:tc>
          <w:tcPr>
            <w:tcW w:w="1335" w:type="dxa"/>
          </w:tcPr>
          <w:p w14:paraId="0352E485" w14:textId="4DC6D6E3" w:rsidR="00974B30" w:rsidRDefault="00974B30" w:rsidP="00974B30">
            <w:pPr>
              <w:jc w:val="right"/>
            </w:pPr>
            <w:r w:rsidRPr="008C76FD">
              <w:t>525</w:t>
            </w:r>
          </w:p>
        </w:tc>
        <w:tc>
          <w:tcPr>
            <w:tcW w:w="1370" w:type="dxa"/>
          </w:tcPr>
          <w:p w14:paraId="5457450B" w14:textId="75A4CD87" w:rsidR="00974B30" w:rsidRPr="008C76FD" w:rsidRDefault="00974B30" w:rsidP="00974B30">
            <w:pPr>
              <w:jc w:val="right"/>
            </w:pPr>
            <w:r w:rsidRPr="008C76FD">
              <w:t>454</w:t>
            </w:r>
          </w:p>
        </w:tc>
        <w:tc>
          <w:tcPr>
            <w:tcW w:w="1425" w:type="dxa"/>
            <w:shd w:val="clear" w:color="auto" w:fill="auto"/>
          </w:tcPr>
          <w:p w14:paraId="439DABAC" w14:textId="4E6DAD0D" w:rsidR="00974B30" w:rsidRPr="008C76FD" w:rsidRDefault="006F1B46" w:rsidP="00974B30">
            <w:pPr>
              <w:jc w:val="right"/>
            </w:pPr>
            <w:r>
              <w:t>568</w:t>
            </w:r>
            <w:r w:rsidR="00437529">
              <w:t>*</w:t>
            </w:r>
          </w:p>
        </w:tc>
      </w:tr>
      <w:tr w:rsidR="00974B30" w:rsidRPr="00EA7071" w14:paraId="088A7AFC" w14:textId="77777777" w:rsidTr="4142874D">
        <w:tc>
          <w:tcPr>
            <w:tcW w:w="2190" w:type="dxa"/>
            <w:shd w:val="clear" w:color="auto" w:fill="auto"/>
          </w:tcPr>
          <w:p w14:paraId="45A3F391" w14:textId="77777777" w:rsidR="00974B30" w:rsidRPr="00EA7071" w:rsidRDefault="00974B30" w:rsidP="00974B30">
            <w:pPr>
              <w:rPr>
                <w:rFonts w:cs="Arial"/>
              </w:rPr>
            </w:pPr>
            <w:r w:rsidRPr="00EA7071">
              <w:rPr>
                <w:rFonts w:cs="Arial"/>
              </w:rPr>
              <w:t>Accepted by creditors (new debt agreements)</w:t>
            </w:r>
          </w:p>
        </w:tc>
        <w:tc>
          <w:tcPr>
            <w:tcW w:w="1320" w:type="dxa"/>
          </w:tcPr>
          <w:p w14:paraId="1720A629" w14:textId="48FD83BE" w:rsidR="00974B30" w:rsidRDefault="00974B30" w:rsidP="00974B30">
            <w:pPr>
              <w:jc w:val="right"/>
            </w:pPr>
            <w:r>
              <w:t>11,497</w:t>
            </w:r>
          </w:p>
        </w:tc>
        <w:tc>
          <w:tcPr>
            <w:tcW w:w="1305" w:type="dxa"/>
          </w:tcPr>
          <w:p w14:paraId="7970F509" w14:textId="515BF23E" w:rsidR="00974B30" w:rsidRDefault="00974B30" w:rsidP="00974B30">
            <w:pPr>
              <w:jc w:val="right"/>
            </w:pPr>
            <w:r>
              <w:t>7,316</w:t>
            </w:r>
          </w:p>
        </w:tc>
        <w:tc>
          <w:tcPr>
            <w:tcW w:w="1335" w:type="dxa"/>
          </w:tcPr>
          <w:p w14:paraId="77B67285" w14:textId="0ACF092E" w:rsidR="00974B30" w:rsidRDefault="00974B30" w:rsidP="00974B30">
            <w:pPr>
              <w:jc w:val="right"/>
            </w:pPr>
            <w:r>
              <w:t>3,485</w:t>
            </w:r>
          </w:p>
        </w:tc>
        <w:tc>
          <w:tcPr>
            <w:tcW w:w="1370" w:type="dxa"/>
          </w:tcPr>
          <w:p w14:paraId="0695D7C9" w14:textId="65433FA3" w:rsidR="00974B30" w:rsidRDefault="00974B30" w:rsidP="00974B30">
            <w:pPr>
              <w:jc w:val="right"/>
            </w:pPr>
            <w:r>
              <w:t>3,393</w:t>
            </w:r>
          </w:p>
        </w:tc>
        <w:tc>
          <w:tcPr>
            <w:tcW w:w="1425" w:type="dxa"/>
            <w:shd w:val="clear" w:color="auto" w:fill="auto"/>
          </w:tcPr>
          <w:p w14:paraId="087195BF" w14:textId="6EB1DED6" w:rsidR="00974B30" w:rsidRPr="00EA7071" w:rsidRDefault="0008534E" w:rsidP="00974B30">
            <w:pPr>
              <w:jc w:val="right"/>
            </w:pPr>
            <w:r>
              <w:t>4</w:t>
            </w:r>
            <w:r w:rsidR="00974B30">
              <w:t>,</w:t>
            </w:r>
            <w:r>
              <w:t>117</w:t>
            </w:r>
          </w:p>
        </w:tc>
      </w:tr>
    </w:tbl>
    <w:p w14:paraId="439CCAAC" w14:textId="27F70CE7" w:rsidR="001E492F" w:rsidRPr="000A0977" w:rsidRDefault="43A6A6FB" w:rsidP="775B323F">
      <w:pPr>
        <w:rPr>
          <w:rFonts w:cs="Arial"/>
        </w:rPr>
      </w:pPr>
      <w:r w:rsidRPr="000A0977">
        <w:rPr>
          <w:rFonts w:cs="Arial"/>
        </w:rPr>
        <w:t>* The voting period for creditors to vote on whether to accept a debt agreement proposal is generally five weeks. If we do not know the vote result on 30 June 20</w:t>
      </w:r>
      <w:r w:rsidR="1AA48586" w:rsidRPr="000A0977">
        <w:rPr>
          <w:rFonts w:cs="Arial"/>
        </w:rPr>
        <w:t>2</w:t>
      </w:r>
      <w:r w:rsidR="550BA650" w:rsidRPr="000A0977">
        <w:rPr>
          <w:rFonts w:cs="Arial"/>
        </w:rPr>
        <w:t>2</w:t>
      </w:r>
      <w:r w:rsidRPr="000A0977">
        <w:rPr>
          <w:rFonts w:cs="Arial"/>
        </w:rPr>
        <w:t xml:space="preserve">, we report the outcome as ‘rejected by creditors or no vote received’.  </w:t>
      </w:r>
    </w:p>
    <w:p w14:paraId="7117FA01" w14:textId="77777777" w:rsidR="001E492F" w:rsidRPr="00EA7071" w:rsidRDefault="001E492F" w:rsidP="001E492F">
      <w:pPr>
        <w:rPr>
          <w:rFonts w:cs="Arial"/>
        </w:rPr>
      </w:pPr>
      <w:r w:rsidRPr="00EA7071">
        <w:t>Note: Due to changes in processing timings, systems changes and delays in status updates, these tables may not reconcile fully. We released the debt agreements online service</w:t>
      </w:r>
      <w:r w:rsidRPr="00EA7071">
        <w:rPr>
          <w:lang w:val="en"/>
        </w:rPr>
        <w:t xml:space="preserve"> in January 2018.</w:t>
      </w:r>
    </w:p>
    <w:p w14:paraId="3FDEEA2E" w14:textId="3EC97873" w:rsidR="001E492F" w:rsidRPr="00131922" w:rsidRDefault="43A6A6FB" w:rsidP="001E492F">
      <w:pPr>
        <w:pStyle w:val="Heading3"/>
      </w:pPr>
      <w:r>
        <w:t>Outcome of new debt agreements as at 30 June 20</w:t>
      </w:r>
      <w:r w:rsidR="1AA48586">
        <w:t>2</w:t>
      </w:r>
      <w:r w:rsidR="00B150F9">
        <w:t>3</w:t>
      </w:r>
    </w:p>
    <w:p w14:paraId="65CABD40" w14:textId="00B42261" w:rsidR="001E492F" w:rsidRPr="00131922" w:rsidRDefault="43A6A6FB" w:rsidP="775B323F">
      <w:r w:rsidRPr="775B323F">
        <w:t>On 30 June 20</w:t>
      </w:r>
      <w:r w:rsidR="1AA48586" w:rsidRPr="775B323F">
        <w:t>2</w:t>
      </w:r>
      <w:r w:rsidR="00B150F9">
        <w:t>3</w:t>
      </w:r>
      <w:r w:rsidRPr="775B323F">
        <w:t xml:space="preserve">, </w:t>
      </w:r>
      <w:r w:rsidR="6752A561" w:rsidRPr="008527A7">
        <w:t>4</w:t>
      </w:r>
      <w:r w:rsidR="008527A7" w:rsidRPr="008527A7">
        <w:t>5</w:t>
      </w:r>
      <w:r w:rsidRPr="008527A7">
        <w:t>%</w:t>
      </w:r>
      <w:r w:rsidRPr="775B323F">
        <w:t xml:space="preserve"> of debt agreements lodged in </w:t>
      </w:r>
      <w:r w:rsidRPr="008527A7">
        <w:t>201</w:t>
      </w:r>
      <w:r w:rsidR="003E49A6" w:rsidRPr="008527A7">
        <w:t>8</w:t>
      </w:r>
      <w:r w:rsidRPr="008527A7">
        <w:t>–1</w:t>
      </w:r>
      <w:r w:rsidR="003E49A6" w:rsidRPr="008527A7">
        <w:t>9</w:t>
      </w:r>
      <w:r w:rsidRPr="775B323F">
        <w:t xml:space="preserve"> were still active. As debt agreements run their course, this proportion becomes progressively </w:t>
      </w:r>
      <w:r w:rsidR="00130D55">
        <w:t>high</w:t>
      </w:r>
      <w:r w:rsidRPr="00130D55">
        <w:t>er</w:t>
      </w:r>
      <w:r w:rsidRPr="775B323F">
        <w:t xml:space="preserve"> for past years. </w:t>
      </w:r>
    </w:p>
    <w:p w14:paraId="2DCB3896" w14:textId="1672F8DA" w:rsidR="001E492F" w:rsidRPr="00131922" w:rsidRDefault="43A6A6FB" w:rsidP="775B323F">
      <w:pPr>
        <w:rPr>
          <w:rFonts w:cs="Arial"/>
        </w:rPr>
      </w:pPr>
      <w:r w:rsidRPr="775B323F">
        <w:rPr>
          <w:rFonts w:cs="Arial"/>
        </w:rPr>
        <w:lastRenderedPageBreak/>
        <w:t>This table shows a progressive summary of the outcome of new debt agreements as at 30 June 20</w:t>
      </w:r>
      <w:r w:rsidR="6752A561" w:rsidRPr="775B323F">
        <w:rPr>
          <w:rFonts w:cs="Arial"/>
        </w:rPr>
        <w:t>2</w:t>
      </w:r>
      <w:r w:rsidR="0066116C">
        <w:rPr>
          <w:rFonts w:cs="Arial"/>
        </w:rPr>
        <w:t>3</w:t>
      </w:r>
      <w:r w:rsidRPr="775B323F">
        <w:rPr>
          <w:rFonts w:cs="Arial"/>
        </w:rPr>
        <w:t xml:space="preserve">. We report these figures based on the date of lodgement of debt agreement proposals. These tables may not reconcile with figures provided in other tables. </w:t>
      </w:r>
    </w:p>
    <w:tbl>
      <w:tblPr>
        <w:tblStyle w:val="TableGrid"/>
        <w:tblW w:w="8754" w:type="dxa"/>
        <w:shd w:val="clear" w:color="auto" w:fill="FF0000"/>
        <w:tblLook w:val="04A0" w:firstRow="1" w:lastRow="0" w:firstColumn="1" w:lastColumn="0" w:noHBand="0" w:noVBand="1"/>
      </w:tblPr>
      <w:tblGrid>
        <w:gridCol w:w="2295"/>
        <w:gridCol w:w="1185"/>
        <w:gridCol w:w="1305"/>
        <w:gridCol w:w="1335"/>
        <w:gridCol w:w="1286"/>
        <w:gridCol w:w="1348"/>
      </w:tblGrid>
      <w:tr w:rsidR="000978AC" w:rsidRPr="00131922" w14:paraId="5C5EA632" w14:textId="77777777" w:rsidTr="4142874D">
        <w:tc>
          <w:tcPr>
            <w:tcW w:w="2295" w:type="dxa"/>
            <w:shd w:val="clear" w:color="auto" w:fill="auto"/>
          </w:tcPr>
          <w:p w14:paraId="6846A164" w14:textId="77777777" w:rsidR="000978AC" w:rsidRPr="00131922" w:rsidRDefault="000978AC" w:rsidP="000978AC">
            <w:pPr>
              <w:rPr>
                <w:rFonts w:cs="Arial"/>
                <w:bCs/>
              </w:rPr>
            </w:pPr>
            <w:r w:rsidRPr="00131922">
              <w:rPr>
                <w:rFonts w:cs="Arial"/>
                <w:bCs/>
              </w:rPr>
              <w:t>Debt agreement activity</w:t>
            </w:r>
          </w:p>
        </w:tc>
        <w:tc>
          <w:tcPr>
            <w:tcW w:w="1185" w:type="dxa"/>
          </w:tcPr>
          <w:p w14:paraId="1005F4C3" w14:textId="30B10DAC" w:rsidR="000978AC" w:rsidRDefault="000978AC" w:rsidP="000978AC">
            <w:pPr>
              <w:jc w:val="right"/>
              <w:rPr>
                <w:rFonts w:cs="Arial"/>
              </w:rPr>
            </w:pPr>
            <w:r w:rsidRPr="775B323F">
              <w:rPr>
                <w:rFonts w:eastAsia="Times New Roman" w:cs="Arial"/>
                <w:lang w:eastAsia="en-AU"/>
              </w:rPr>
              <w:t>2018–19</w:t>
            </w:r>
          </w:p>
        </w:tc>
        <w:tc>
          <w:tcPr>
            <w:tcW w:w="1305" w:type="dxa"/>
          </w:tcPr>
          <w:p w14:paraId="74C71614" w14:textId="580A9BFF" w:rsidR="000978AC" w:rsidRDefault="000978AC" w:rsidP="000978AC">
            <w:pPr>
              <w:jc w:val="right"/>
              <w:rPr>
                <w:rFonts w:cs="Arial"/>
              </w:rPr>
            </w:pPr>
            <w:r w:rsidRPr="775B323F">
              <w:rPr>
                <w:rFonts w:eastAsia="Times New Roman" w:cs="Arial"/>
                <w:lang w:eastAsia="en-AU"/>
              </w:rPr>
              <w:t>2019–20</w:t>
            </w:r>
          </w:p>
        </w:tc>
        <w:tc>
          <w:tcPr>
            <w:tcW w:w="1335" w:type="dxa"/>
          </w:tcPr>
          <w:p w14:paraId="2686A9E4" w14:textId="2C724A1D" w:rsidR="000978AC" w:rsidRDefault="000978AC" w:rsidP="000978AC">
            <w:pPr>
              <w:jc w:val="right"/>
              <w:rPr>
                <w:rFonts w:cs="Arial"/>
              </w:rPr>
            </w:pPr>
            <w:r w:rsidRPr="775B323F">
              <w:rPr>
                <w:rFonts w:eastAsia="Times New Roman" w:cs="Arial"/>
                <w:lang w:eastAsia="en-AU"/>
              </w:rPr>
              <w:t>2020–21</w:t>
            </w:r>
          </w:p>
        </w:tc>
        <w:tc>
          <w:tcPr>
            <w:tcW w:w="1286" w:type="dxa"/>
          </w:tcPr>
          <w:p w14:paraId="7AB04C0B" w14:textId="76252695" w:rsidR="000978AC" w:rsidRDefault="000978AC" w:rsidP="000978AC">
            <w:pPr>
              <w:jc w:val="right"/>
              <w:rPr>
                <w:rFonts w:cs="Arial"/>
              </w:rPr>
            </w:pPr>
            <w:r w:rsidRPr="775B323F">
              <w:rPr>
                <w:rFonts w:eastAsia="Times New Roman" w:cs="Arial"/>
                <w:lang w:eastAsia="en-AU"/>
              </w:rPr>
              <w:t>2021–22</w:t>
            </w:r>
          </w:p>
        </w:tc>
        <w:tc>
          <w:tcPr>
            <w:tcW w:w="1348" w:type="dxa"/>
            <w:shd w:val="clear" w:color="auto" w:fill="auto"/>
          </w:tcPr>
          <w:p w14:paraId="28122D40" w14:textId="34937434" w:rsidR="000978AC" w:rsidRPr="00131922" w:rsidRDefault="000978AC" w:rsidP="000978AC">
            <w:pPr>
              <w:jc w:val="right"/>
              <w:rPr>
                <w:rFonts w:cs="Arial"/>
              </w:rPr>
            </w:pPr>
            <w:r w:rsidRPr="775B323F">
              <w:rPr>
                <w:rFonts w:eastAsia="Times New Roman" w:cs="Arial"/>
                <w:lang w:eastAsia="en-AU"/>
              </w:rPr>
              <w:t>202</w:t>
            </w:r>
            <w:r w:rsidR="00865417">
              <w:rPr>
                <w:rFonts w:eastAsia="Times New Roman" w:cs="Arial"/>
                <w:lang w:eastAsia="en-AU"/>
              </w:rPr>
              <w:t>2</w:t>
            </w:r>
            <w:r w:rsidRPr="775B323F">
              <w:rPr>
                <w:rFonts w:eastAsia="Times New Roman" w:cs="Arial"/>
                <w:lang w:eastAsia="en-AU"/>
              </w:rPr>
              <w:t>–2</w:t>
            </w:r>
            <w:r w:rsidR="00865417">
              <w:rPr>
                <w:rFonts w:eastAsia="Times New Roman" w:cs="Arial"/>
                <w:lang w:eastAsia="en-AU"/>
              </w:rPr>
              <w:t>3</w:t>
            </w:r>
          </w:p>
        </w:tc>
      </w:tr>
      <w:tr w:rsidR="000978AC" w:rsidRPr="00131922" w14:paraId="763F4C20" w14:textId="77777777" w:rsidTr="4142874D">
        <w:tc>
          <w:tcPr>
            <w:tcW w:w="2295" w:type="dxa"/>
            <w:shd w:val="clear" w:color="auto" w:fill="auto"/>
          </w:tcPr>
          <w:p w14:paraId="361AC3FA" w14:textId="77777777" w:rsidR="000978AC" w:rsidRPr="00131922" w:rsidRDefault="000978AC" w:rsidP="000978AC">
            <w:pPr>
              <w:rPr>
                <w:rFonts w:cs="Arial"/>
              </w:rPr>
            </w:pPr>
            <w:r w:rsidRPr="00131922">
              <w:rPr>
                <w:rFonts w:cs="Arial"/>
              </w:rPr>
              <w:t>Terminated by creditors/court</w:t>
            </w:r>
          </w:p>
        </w:tc>
        <w:tc>
          <w:tcPr>
            <w:tcW w:w="1185" w:type="dxa"/>
            <w:vAlign w:val="center"/>
          </w:tcPr>
          <w:p w14:paraId="080F36B2" w14:textId="371D6B2C" w:rsidR="000978AC" w:rsidRDefault="004115D1" w:rsidP="000978AC">
            <w:pPr>
              <w:jc w:val="right"/>
            </w:pPr>
            <w:r>
              <w:t>441</w:t>
            </w:r>
          </w:p>
        </w:tc>
        <w:tc>
          <w:tcPr>
            <w:tcW w:w="1305" w:type="dxa"/>
            <w:vAlign w:val="center"/>
          </w:tcPr>
          <w:p w14:paraId="4DB541A0" w14:textId="3052DA93" w:rsidR="000978AC" w:rsidRDefault="004115D1" w:rsidP="000978AC">
            <w:pPr>
              <w:jc w:val="right"/>
            </w:pPr>
            <w:r>
              <w:t>161</w:t>
            </w:r>
          </w:p>
        </w:tc>
        <w:tc>
          <w:tcPr>
            <w:tcW w:w="1335" w:type="dxa"/>
            <w:vAlign w:val="center"/>
          </w:tcPr>
          <w:p w14:paraId="7EBF6009" w14:textId="65390208" w:rsidR="000978AC" w:rsidRDefault="004115D1" w:rsidP="000978AC">
            <w:pPr>
              <w:jc w:val="right"/>
            </w:pPr>
            <w:r>
              <w:t>73</w:t>
            </w:r>
          </w:p>
        </w:tc>
        <w:tc>
          <w:tcPr>
            <w:tcW w:w="1286" w:type="dxa"/>
            <w:vAlign w:val="center"/>
          </w:tcPr>
          <w:p w14:paraId="1297E740" w14:textId="4F778CFB" w:rsidR="000978AC" w:rsidRDefault="00211CC6" w:rsidP="000978AC">
            <w:pPr>
              <w:jc w:val="right"/>
            </w:pPr>
            <w:r>
              <w:t>48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66EA82" w14:textId="250F8B2C" w:rsidR="000978AC" w:rsidRPr="00131922" w:rsidRDefault="006A47D9" w:rsidP="000978AC">
            <w:pPr>
              <w:jc w:val="right"/>
            </w:pPr>
            <w:r>
              <w:t>15</w:t>
            </w:r>
          </w:p>
        </w:tc>
      </w:tr>
      <w:tr w:rsidR="000978AC" w:rsidRPr="00131922" w14:paraId="1230C966" w14:textId="77777777" w:rsidTr="4142874D">
        <w:tc>
          <w:tcPr>
            <w:tcW w:w="2295" w:type="dxa"/>
            <w:shd w:val="clear" w:color="auto" w:fill="auto"/>
          </w:tcPr>
          <w:p w14:paraId="75584BBA" w14:textId="77777777" w:rsidR="000978AC" w:rsidRPr="00131922" w:rsidRDefault="000978AC" w:rsidP="000978AC">
            <w:pPr>
              <w:rPr>
                <w:rFonts w:cs="Arial"/>
              </w:rPr>
            </w:pPr>
            <w:r w:rsidRPr="00131922">
              <w:rPr>
                <w:rFonts w:cs="Arial"/>
              </w:rPr>
              <w:t>Terminated by six-month arrears default</w:t>
            </w:r>
          </w:p>
        </w:tc>
        <w:tc>
          <w:tcPr>
            <w:tcW w:w="1185" w:type="dxa"/>
            <w:vAlign w:val="center"/>
          </w:tcPr>
          <w:p w14:paraId="525B0F0C" w14:textId="3A333922" w:rsidR="000978AC" w:rsidRDefault="00AE2DCF" w:rsidP="000978AC">
            <w:pPr>
              <w:jc w:val="right"/>
            </w:pPr>
            <w:r>
              <w:t>1,396</w:t>
            </w:r>
          </w:p>
        </w:tc>
        <w:tc>
          <w:tcPr>
            <w:tcW w:w="1305" w:type="dxa"/>
            <w:vAlign w:val="center"/>
          </w:tcPr>
          <w:p w14:paraId="7F3A630D" w14:textId="2B2CA442" w:rsidR="000978AC" w:rsidRDefault="00AE2DCF" w:rsidP="000978AC">
            <w:pPr>
              <w:jc w:val="right"/>
            </w:pPr>
            <w:r>
              <w:t>793</w:t>
            </w:r>
          </w:p>
        </w:tc>
        <w:tc>
          <w:tcPr>
            <w:tcW w:w="1335" w:type="dxa"/>
            <w:vAlign w:val="center"/>
          </w:tcPr>
          <w:p w14:paraId="53FB3C9E" w14:textId="2A75808D" w:rsidR="000978AC" w:rsidRDefault="00AE2DCF" w:rsidP="000978AC">
            <w:pPr>
              <w:jc w:val="right"/>
            </w:pPr>
            <w:r>
              <w:t>355</w:t>
            </w:r>
          </w:p>
        </w:tc>
        <w:tc>
          <w:tcPr>
            <w:tcW w:w="1286" w:type="dxa"/>
            <w:vAlign w:val="center"/>
          </w:tcPr>
          <w:p w14:paraId="530EED73" w14:textId="7A61F8E6" w:rsidR="000978AC" w:rsidRDefault="004115D1" w:rsidP="000978AC">
            <w:pPr>
              <w:jc w:val="right"/>
            </w:pPr>
            <w:r>
              <w:t>287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0C128F" w14:textId="02B12F5C" w:rsidR="000978AC" w:rsidRPr="00131922" w:rsidRDefault="00761DBD" w:rsidP="000978AC">
            <w:pPr>
              <w:jc w:val="right"/>
            </w:pPr>
            <w:r>
              <w:t>92</w:t>
            </w:r>
          </w:p>
        </w:tc>
      </w:tr>
      <w:tr w:rsidR="000978AC" w:rsidRPr="00131922" w14:paraId="5773E8F5" w14:textId="77777777" w:rsidTr="4142874D">
        <w:tc>
          <w:tcPr>
            <w:tcW w:w="2295" w:type="dxa"/>
            <w:shd w:val="clear" w:color="auto" w:fill="auto"/>
          </w:tcPr>
          <w:p w14:paraId="74AB1289" w14:textId="77777777" w:rsidR="000978AC" w:rsidRPr="00131922" w:rsidRDefault="000978AC" w:rsidP="000978AC">
            <w:pPr>
              <w:rPr>
                <w:rFonts w:cs="Arial"/>
              </w:rPr>
            </w:pPr>
            <w:r w:rsidRPr="00131922">
              <w:rPr>
                <w:rFonts w:cs="Arial"/>
              </w:rPr>
              <w:t>Agreements completed</w:t>
            </w:r>
          </w:p>
        </w:tc>
        <w:tc>
          <w:tcPr>
            <w:tcW w:w="1185" w:type="dxa"/>
            <w:vAlign w:val="center"/>
          </w:tcPr>
          <w:p w14:paraId="0E07EC08" w14:textId="37EDB309" w:rsidR="000978AC" w:rsidRDefault="00106D4D" w:rsidP="000978AC">
            <w:pPr>
              <w:jc w:val="right"/>
            </w:pPr>
            <w:r>
              <w:t>4,507</w:t>
            </w:r>
          </w:p>
        </w:tc>
        <w:tc>
          <w:tcPr>
            <w:tcW w:w="1305" w:type="dxa"/>
            <w:vAlign w:val="center"/>
          </w:tcPr>
          <w:p w14:paraId="0658D31E" w14:textId="7AC89239" w:rsidR="000978AC" w:rsidRDefault="00106D4D" w:rsidP="000978AC">
            <w:pPr>
              <w:jc w:val="right"/>
            </w:pPr>
            <w:r>
              <w:t>4,980</w:t>
            </w:r>
          </w:p>
        </w:tc>
        <w:tc>
          <w:tcPr>
            <w:tcW w:w="1335" w:type="dxa"/>
            <w:vAlign w:val="center"/>
          </w:tcPr>
          <w:p w14:paraId="0101B742" w14:textId="6AD57D53" w:rsidR="000978AC" w:rsidRDefault="00106D4D" w:rsidP="000978AC">
            <w:pPr>
              <w:jc w:val="right"/>
            </w:pPr>
            <w:r>
              <w:t>922</w:t>
            </w:r>
          </w:p>
        </w:tc>
        <w:tc>
          <w:tcPr>
            <w:tcW w:w="1286" w:type="dxa"/>
            <w:vAlign w:val="center"/>
          </w:tcPr>
          <w:p w14:paraId="191A435A" w14:textId="36876448" w:rsidR="000978AC" w:rsidRDefault="0060247B" w:rsidP="000978AC">
            <w:pPr>
              <w:jc w:val="right"/>
            </w:pPr>
            <w:r>
              <w:t>166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35E3E0" w14:textId="01BB7034" w:rsidR="000978AC" w:rsidRPr="00131922" w:rsidRDefault="00761DBD" w:rsidP="000978AC">
            <w:pPr>
              <w:jc w:val="right"/>
            </w:pPr>
            <w:r>
              <w:t>19</w:t>
            </w:r>
          </w:p>
        </w:tc>
      </w:tr>
      <w:tr w:rsidR="000978AC" w:rsidRPr="00131922" w14:paraId="17438000" w14:textId="77777777" w:rsidTr="4142874D">
        <w:tc>
          <w:tcPr>
            <w:tcW w:w="2295" w:type="dxa"/>
            <w:shd w:val="clear" w:color="auto" w:fill="auto"/>
          </w:tcPr>
          <w:p w14:paraId="14BCDE04" w14:textId="77777777" w:rsidR="000978AC" w:rsidRPr="00131922" w:rsidRDefault="000978AC" w:rsidP="000978AC">
            <w:pPr>
              <w:rPr>
                <w:rFonts w:cs="Arial"/>
              </w:rPr>
            </w:pPr>
            <w:r w:rsidRPr="00131922">
              <w:rPr>
                <w:rFonts w:cs="Arial"/>
              </w:rPr>
              <w:t>Agreements not yet completed</w:t>
            </w:r>
          </w:p>
        </w:tc>
        <w:tc>
          <w:tcPr>
            <w:tcW w:w="1185" w:type="dxa"/>
            <w:vAlign w:val="center"/>
          </w:tcPr>
          <w:p w14:paraId="62B1F9E6" w14:textId="3655066D" w:rsidR="000978AC" w:rsidRDefault="0060247B" w:rsidP="000978AC">
            <w:pPr>
              <w:jc w:val="right"/>
            </w:pPr>
            <w:r>
              <w:t>5,153</w:t>
            </w:r>
          </w:p>
        </w:tc>
        <w:tc>
          <w:tcPr>
            <w:tcW w:w="1305" w:type="dxa"/>
            <w:vAlign w:val="center"/>
          </w:tcPr>
          <w:p w14:paraId="38CD4904" w14:textId="6EC0B45D" w:rsidR="000978AC" w:rsidRDefault="00AE2DCF" w:rsidP="000978AC">
            <w:pPr>
              <w:jc w:val="right"/>
            </w:pPr>
            <w:r>
              <w:t>1,382</w:t>
            </w:r>
          </w:p>
        </w:tc>
        <w:tc>
          <w:tcPr>
            <w:tcW w:w="1335" w:type="dxa"/>
            <w:vAlign w:val="center"/>
          </w:tcPr>
          <w:p w14:paraId="59740337" w14:textId="22F51B7D" w:rsidR="000978AC" w:rsidRDefault="00AE2DCF" w:rsidP="000978AC">
            <w:pPr>
              <w:jc w:val="right"/>
            </w:pPr>
            <w:r>
              <w:t>2,135</w:t>
            </w:r>
          </w:p>
        </w:tc>
        <w:tc>
          <w:tcPr>
            <w:tcW w:w="1286" w:type="dxa"/>
            <w:vAlign w:val="center"/>
          </w:tcPr>
          <w:p w14:paraId="7F77328A" w14:textId="0E51F69F" w:rsidR="000978AC" w:rsidRDefault="00AE2DCF" w:rsidP="000978AC">
            <w:pPr>
              <w:jc w:val="right"/>
            </w:pPr>
            <w:r>
              <w:t>2,892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CF5D84" w14:textId="54C010FA" w:rsidR="000978AC" w:rsidRPr="00131922" w:rsidRDefault="000978AC" w:rsidP="000978AC">
            <w:pPr>
              <w:jc w:val="right"/>
            </w:pPr>
            <w:r>
              <w:t>3,</w:t>
            </w:r>
            <w:r w:rsidR="00B150F9">
              <w:t>991</w:t>
            </w:r>
          </w:p>
        </w:tc>
      </w:tr>
    </w:tbl>
    <w:p w14:paraId="13923AF9" w14:textId="77777777" w:rsidR="001E492F" w:rsidRPr="00131922" w:rsidRDefault="001E492F" w:rsidP="001E492F">
      <w:r w:rsidRPr="00131922">
        <w:t>Note: Due to changes in processing timings, systems changes and delays in status updates, these tables may not reconcile fully. We released the debt agreements online service</w:t>
      </w:r>
      <w:r w:rsidRPr="00131922">
        <w:rPr>
          <w:lang w:val="en"/>
        </w:rPr>
        <w:t xml:space="preserve"> in January 2018.</w:t>
      </w:r>
    </w:p>
    <w:p w14:paraId="69E98D0D" w14:textId="77777777" w:rsidR="00F77599" w:rsidRDefault="00F77599"/>
    <w:sectPr w:rsidR="00F775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77C3" w14:textId="77777777" w:rsidR="00A81F0B" w:rsidRDefault="00A81F0B" w:rsidP="00E76401">
      <w:pPr>
        <w:spacing w:after="0" w:line="240" w:lineRule="auto"/>
      </w:pPr>
      <w:r>
        <w:separator/>
      </w:r>
    </w:p>
  </w:endnote>
  <w:endnote w:type="continuationSeparator" w:id="0">
    <w:p w14:paraId="7BABEC92" w14:textId="77777777" w:rsidR="00A81F0B" w:rsidRDefault="00A81F0B" w:rsidP="00E76401">
      <w:pPr>
        <w:spacing w:after="0" w:line="240" w:lineRule="auto"/>
      </w:pPr>
      <w:r>
        <w:continuationSeparator/>
      </w:r>
    </w:p>
  </w:endnote>
  <w:endnote w:type="continuationNotice" w:id="1">
    <w:p w14:paraId="3E82CF4E" w14:textId="77777777" w:rsidR="00A81F0B" w:rsidRDefault="00A81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836A" w14:textId="3170919B" w:rsidR="00E76401" w:rsidRDefault="00E764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68EAB0B" wp14:editId="6A44A6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E4586" w14:textId="4EFE1ADE" w:rsidR="00E76401" w:rsidRPr="00E76401" w:rsidRDefault="00E76401" w:rsidP="00E764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764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EAB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B3E4586" w14:textId="4EFE1ADE" w:rsidR="00E76401" w:rsidRPr="00E76401" w:rsidRDefault="00E76401" w:rsidP="00E764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764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B270" w14:textId="58875764" w:rsidR="00E76401" w:rsidRDefault="00E764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B307B35" wp14:editId="6DF37E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C04AF" w14:textId="4B7C9B1E" w:rsidR="00E76401" w:rsidRPr="00E76401" w:rsidRDefault="00E76401" w:rsidP="00E764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764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07B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AEC04AF" w14:textId="4B7C9B1E" w:rsidR="00E76401" w:rsidRPr="00E76401" w:rsidRDefault="00E76401" w:rsidP="00E764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764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D43" w14:textId="3C018CC8" w:rsidR="00E76401" w:rsidRDefault="00E764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282A641" wp14:editId="0930DE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065C6" w14:textId="7F7D52CA" w:rsidR="00E76401" w:rsidRPr="00E76401" w:rsidRDefault="00E76401" w:rsidP="00E764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764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2A6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F065C6" w14:textId="7F7D52CA" w:rsidR="00E76401" w:rsidRPr="00E76401" w:rsidRDefault="00E76401" w:rsidP="00E764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764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2B88" w14:textId="77777777" w:rsidR="00A81F0B" w:rsidRDefault="00A81F0B" w:rsidP="00E76401">
      <w:pPr>
        <w:spacing w:after="0" w:line="240" w:lineRule="auto"/>
      </w:pPr>
      <w:r>
        <w:separator/>
      </w:r>
    </w:p>
  </w:footnote>
  <w:footnote w:type="continuationSeparator" w:id="0">
    <w:p w14:paraId="2ADBBD0A" w14:textId="77777777" w:rsidR="00A81F0B" w:rsidRDefault="00A81F0B" w:rsidP="00E76401">
      <w:pPr>
        <w:spacing w:after="0" w:line="240" w:lineRule="auto"/>
      </w:pPr>
      <w:r>
        <w:continuationSeparator/>
      </w:r>
    </w:p>
  </w:footnote>
  <w:footnote w:type="continuationNotice" w:id="1">
    <w:p w14:paraId="725FA75D" w14:textId="77777777" w:rsidR="00A81F0B" w:rsidRDefault="00A81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4857" w14:textId="155345B3" w:rsidR="00E76401" w:rsidRDefault="00E764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59EB2" wp14:editId="70F30A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70C95" w14:textId="226AA971" w:rsidR="00E76401" w:rsidRPr="00E76401" w:rsidRDefault="00E76401" w:rsidP="00E764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764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59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DB70C95" w14:textId="226AA971" w:rsidR="00E76401" w:rsidRPr="00E76401" w:rsidRDefault="00E76401" w:rsidP="00E764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764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AAFF" w14:textId="6CEDACA5" w:rsidR="00E76401" w:rsidRDefault="00E764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052116" wp14:editId="5166CF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EDCFF" w14:textId="3FD10983" w:rsidR="00E76401" w:rsidRPr="00E76401" w:rsidRDefault="00E76401" w:rsidP="00E764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764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52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DEDCFF" w14:textId="3FD10983" w:rsidR="00E76401" w:rsidRPr="00E76401" w:rsidRDefault="00E76401" w:rsidP="00E764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764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F649" w14:textId="02816C9F" w:rsidR="00E76401" w:rsidRDefault="00E764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30C0FE" wp14:editId="116F8B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0C627" w14:textId="766EBDAD" w:rsidR="00E76401" w:rsidRPr="00E76401" w:rsidRDefault="00E76401" w:rsidP="00E764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764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0C0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970C627" w14:textId="766EBDAD" w:rsidR="00E76401" w:rsidRPr="00E76401" w:rsidRDefault="00E76401" w:rsidP="00E764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764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2F"/>
    <w:rsid w:val="0008534E"/>
    <w:rsid w:val="000978AC"/>
    <w:rsid w:val="000A0977"/>
    <w:rsid w:val="00106D4D"/>
    <w:rsid w:val="00130D55"/>
    <w:rsid w:val="00131922"/>
    <w:rsid w:val="00167265"/>
    <w:rsid w:val="00190B22"/>
    <w:rsid w:val="001E1337"/>
    <w:rsid w:val="001E492F"/>
    <w:rsid w:val="00211CC6"/>
    <w:rsid w:val="002C5A1D"/>
    <w:rsid w:val="002E30E6"/>
    <w:rsid w:val="003A2A08"/>
    <w:rsid w:val="003E1C50"/>
    <w:rsid w:val="003E49A6"/>
    <w:rsid w:val="004115D1"/>
    <w:rsid w:val="00437529"/>
    <w:rsid w:val="004A0C0B"/>
    <w:rsid w:val="0060247B"/>
    <w:rsid w:val="0066116C"/>
    <w:rsid w:val="006A47D9"/>
    <w:rsid w:val="006F1B46"/>
    <w:rsid w:val="00761DBD"/>
    <w:rsid w:val="007D1763"/>
    <w:rsid w:val="007D1B55"/>
    <w:rsid w:val="008527A7"/>
    <w:rsid w:val="00865417"/>
    <w:rsid w:val="008C76FD"/>
    <w:rsid w:val="00974B30"/>
    <w:rsid w:val="009857F8"/>
    <w:rsid w:val="00A1473D"/>
    <w:rsid w:val="00A81F0B"/>
    <w:rsid w:val="00AE2DCF"/>
    <w:rsid w:val="00B150F9"/>
    <w:rsid w:val="00B9274F"/>
    <w:rsid w:val="00BB7CED"/>
    <w:rsid w:val="00C716E4"/>
    <w:rsid w:val="00E25702"/>
    <w:rsid w:val="00E76401"/>
    <w:rsid w:val="00EA7071"/>
    <w:rsid w:val="00EE7B14"/>
    <w:rsid w:val="00F77599"/>
    <w:rsid w:val="00FA2B30"/>
    <w:rsid w:val="01E39B12"/>
    <w:rsid w:val="0204E2CB"/>
    <w:rsid w:val="0318CC9A"/>
    <w:rsid w:val="05984ED9"/>
    <w:rsid w:val="06A38BFD"/>
    <w:rsid w:val="06ADA12D"/>
    <w:rsid w:val="06FE3D41"/>
    <w:rsid w:val="085A7041"/>
    <w:rsid w:val="08A6D866"/>
    <w:rsid w:val="0A5ADFEC"/>
    <w:rsid w:val="0B5C5F19"/>
    <w:rsid w:val="0F7FFF7D"/>
    <w:rsid w:val="10247C69"/>
    <w:rsid w:val="119AAF70"/>
    <w:rsid w:val="17BB5D57"/>
    <w:rsid w:val="1AA48586"/>
    <w:rsid w:val="1BA88EA8"/>
    <w:rsid w:val="1D24CE3D"/>
    <w:rsid w:val="1D3EC96E"/>
    <w:rsid w:val="20BF5114"/>
    <w:rsid w:val="296ED9F0"/>
    <w:rsid w:val="2A4CA2E3"/>
    <w:rsid w:val="2A875D39"/>
    <w:rsid w:val="3271B2F8"/>
    <w:rsid w:val="32CC9D6E"/>
    <w:rsid w:val="3314BE0F"/>
    <w:rsid w:val="349EC952"/>
    <w:rsid w:val="34A84340"/>
    <w:rsid w:val="378A2C27"/>
    <w:rsid w:val="3A88B674"/>
    <w:rsid w:val="3D3A69DD"/>
    <w:rsid w:val="3FED23E0"/>
    <w:rsid w:val="4142874D"/>
    <w:rsid w:val="428D84DB"/>
    <w:rsid w:val="43A6A6FB"/>
    <w:rsid w:val="44A979B6"/>
    <w:rsid w:val="47D20F26"/>
    <w:rsid w:val="49D8FE3D"/>
    <w:rsid w:val="4AF8B609"/>
    <w:rsid w:val="4B9DBFF8"/>
    <w:rsid w:val="4EA7266B"/>
    <w:rsid w:val="5187CAE8"/>
    <w:rsid w:val="536492E8"/>
    <w:rsid w:val="550BA650"/>
    <w:rsid w:val="5512BB47"/>
    <w:rsid w:val="56921AD8"/>
    <w:rsid w:val="5792F8D3"/>
    <w:rsid w:val="57BAB7CA"/>
    <w:rsid w:val="5E213DF8"/>
    <w:rsid w:val="6133BB2D"/>
    <w:rsid w:val="65FB319D"/>
    <w:rsid w:val="66DA38CB"/>
    <w:rsid w:val="6752A561"/>
    <w:rsid w:val="685896E7"/>
    <w:rsid w:val="68818746"/>
    <w:rsid w:val="6C1F6B8E"/>
    <w:rsid w:val="6C60BB70"/>
    <w:rsid w:val="714F26DB"/>
    <w:rsid w:val="72490E6B"/>
    <w:rsid w:val="72CD408D"/>
    <w:rsid w:val="75D92B50"/>
    <w:rsid w:val="7612352F"/>
    <w:rsid w:val="775B323F"/>
    <w:rsid w:val="7975B55B"/>
    <w:rsid w:val="7A80969A"/>
    <w:rsid w:val="7AC93606"/>
    <w:rsid w:val="7AD69B00"/>
    <w:rsid w:val="7BBAD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628C"/>
  <w15:chartTrackingRefBased/>
  <w15:docId w15:val="{3E5E7101-C57D-424E-8E8A-CD64579A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9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49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E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01"/>
  </w:style>
  <w:style w:type="paragraph" w:styleId="Footer">
    <w:name w:val="footer"/>
    <w:basedOn w:val="Normal"/>
    <w:link w:val="FooterChar"/>
    <w:uiPriority w:val="99"/>
    <w:unhideWhenUsed/>
    <w:rsid w:val="00E7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44b81-153f-4bbe-acb1-d13c96326b4f" xsi:nil="true"/>
    <lcf76f155ced4ddcb4097134ff3c332f xmlns="e93ca305-1d07-4aca-8d55-5c008d9a3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40D06487C94F8079D1484372A9B6" ma:contentTypeVersion="18" ma:contentTypeDescription="Create a new document." ma:contentTypeScope="" ma:versionID="a2d17fa70c9984a139b57df36eb07a29">
  <xsd:schema xmlns:xsd="http://www.w3.org/2001/XMLSchema" xmlns:xs="http://www.w3.org/2001/XMLSchema" xmlns:p="http://schemas.microsoft.com/office/2006/metadata/properties" xmlns:ns2="e93ca305-1d07-4aca-8d55-5c008d9a39bd" xmlns:ns3="86b44b81-153f-4bbe-acb1-d13c96326b4f" targetNamespace="http://schemas.microsoft.com/office/2006/metadata/properties" ma:root="true" ma:fieldsID="db331e16121fbd551a1e2ab5da52dbc9" ns2:_="" ns3:_="">
    <xsd:import namespace="e93ca305-1d07-4aca-8d55-5c008d9a39bd"/>
    <xsd:import namespace="86b44b81-153f-4bbe-acb1-d13c96326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a305-1d07-4aca-8d55-5c008d9a3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dd9da-ad1b-4c3c-a08c-a2838310b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b81-153f-4bbe-acb1-d13c96326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1bb7fe-79d8-44fe-ab4c-339c240a9d06}" ma:internalName="TaxCatchAll" ma:showField="CatchAllData" ma:web="86b44b81-153f-4bbe-acb1-d13c96326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02FC9-7D6E-43F7-9934-668F4A343290}">
  <ds:schemaRefs>
    <ds:schemaRef ds:uri="http://schemas.microsoft.com/office/2006/metadata/properties"/>
    <ds:schemaRef ds:uri="http://schemas.microsoft.com/office/infopath/2007/PartnerControls"/>
    <ds:schemaRef ds:uri="86b44b81-153f-4bbe-acb1-d13c96326b4f"/>
    <ds:schemaRef ds:uri="e93ca305-1d07-4aca-8d55-5c008d9a39bd"/>
  </ds:schemaRefs>
</ds:datastoreItem>
</file>

<file path=customXml/itemProps2.xml><?xml version="1.0" encoding="utf-8"?>
<ds:datastoreItem xmlns:ds="http://schemas.openxmlformats.org/officeDocument/2006/customXml" ds:itemID="{67A9C20D-9932-45E2-896F-E7FEE08E1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15631-232B-4F85-A507-6FC0ADE92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a305-1d07-4aca-8d55-5c008d9a39bd"/>
    <ds:schemaRef ds:uri="86b44b81-153f-4bbe-acb1-d13c96326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WICHT</dc:creator>
  <cp:keywords/>
  <dc:description/>
  <cp:lastModifiedBy>Mark WICHT</cp:lastModifiedBy>
  <cp:revision>40</cp:revision>
  <dcterms:created xsi:type="dcterms:W3CDTF">2022-11-08T23:02:00Z</dcterms:created>
  <dcterms:modified xsi:type="dcterms:W3CDTF">2023-12-10T09:22:00Z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0x0101001BD640D06487C94F8079D1484372A9B6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1af44e5-4e25-40be-b437-08fbc55eac1d_Enabled">
    <vt:lpwstr>true</vt:lpwstr>
  </property>
  <property fmtid="{D5CDD505-2E9C-101B-9397-08002B2CF9AE}" pid="10" name="MSIP_Label_81af44e5-4e25-40be-b437-08fbc55eac1d_SetDate">
    <vt:lpwstr>2022-11-08T23:02:03Z</vt:lpwstr>
  </property>
  <property fmtid="{D5CDD505-2E9C-101B-9397-08002B2CF9AE}" pid="11" name="MSIP_Label_81af44e5-4e25-40be-b437-08fbc55eac1d_Method">
    <vt:lpwstr>Privileged</vt:lpwstr>
  </property>
  <property fmtid="{D5CDD505-2E9C-101B-9397-08002B2CF9AE}" pid="12" name="MSIP_Label_81af44e5-4e25-40be-b437-08fbc55eac1d_Name">
    <vt:lpwstr>OFFICIAL</vt:lpwstr>
  </property>
  <property fmtid="{D5CDD505-2E9C-101B-9397-08002B2CF9AE}" pid="13" name="MSIP_Label_81af44e5-4e25-40be-b437-08fbc55eac1d_SiteId">
    <vt:lpwstr>908d2823-d1bb-45b1-9a09-293dbca1a797</vt:lpwstr>
  </property>
  <property fmtid="{D5CDD505-2E9C-101B-9397-08002B2CF9AE}" pid="14" name="MSIP_Label_81af44e5-4e25-40be-b437-08fbc55eac1d_ActionId">
    <vt:lpwstr>42827297-e0c5-4a8c-affa-2117c96b90c5</vt:lpwstr>
  </property>
  <property fmtid="{D5CDD505-2E9C-101B-9397-08002B2CF9AE}" pid="15" name="MSIP_Label_81af44e5-4e25-40be-b437-08fbc55eac1d_ContentBits">
    <vt:lpwstr>3</vt:lpwstr>
  </property>
  <property fmtid="{D5CDD505-2E9C-101B-9397-08002B2CF9AE}" pid="16" name="MediaServiceImageTags">
    <vt:lpwstr/>
  </property>
</Properties>
</file>