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04DF" w14:textId="77777777" w:rsidR="00523426" w:rsidRPr="00523426" w:rsidRDefault="00523426" w:rsidP="00523426">
      <w:pPr>
        <w:pStyle w:val="Heading2"/>
      </w:pPr>
      <w:r w:rsidRPr="00523426">
        <w:t>Rate of return</w:t>
      </w:r>
    </w:p>
    <w:p w14:paraId="34E8A49F" w14:textId="77777777" w:rsidR="00523426" w:rsidRPr="00523426" w:rsidRDefault="00523426" w:rsidP="00523426">
      <w:pPr>
        <w:pStyle w:val="Heading3"/>
      </w:pPr>
      <w:r w:rsidRPr="00523426">
        <w:t>Bankruptcies</w:t>
      </w:r>
    </w:p>
    <w:p w14:paraId="5C0037C9" w14:textId="77777777" w:rsidR="00523426" w:rsidRPr="00523426" w:rsidRDefault="00523426" w:rsidP="00523426">
      <w:pPr>
        <w:pStyle w:val="Heading4"/>
      </w:pPr>
      <w:r w:rsidRPr="00523426">
        <w:t xml:space="preserve">Contributions and dividends – bankruptcies </w:t>
      </w:r>
    </w:p>
    <w:p w14:paraId="0F68F390" w14:textId="71669386" w:rsidR="00523426" w:rsidRPr="00523426" w:rsidRDefault="3BE111CB" w:rsidP="00523426">
      <w:r>
        <w:t>In 202</w:t>
      </w:r>
      <w:r w:rsidR="00F609A1">
        <w:t>2</w:t>
      </w:r>
      <w:r>
        <w:t>–2</w:t>
      </w:r>
      <w:r w:rsidR="00F609A1">
        <w:t>3</w:t>
      </w:r>
      <w:r>
        <w:t xml:space="preserve">, trustees (including the Official Trustee and </w:t>
      </w:r>
      <w:r w:rsidR="502C1FA4">
        <w:t>R</w:t>
      </w:r>
      <w:r>
        <w:t xml:space="preserve">egistered </w:t>
      </w:r>
      <w:r w:rsidR="3DC4AE0D">
        <w:t>T</w:t>
      </w:r>
      <w:r>
        <w:t xml:space="preserve">rustees) administered </w:t>
      </w:r>
      <w:r w:rsidR="253A9335">
        <w:t>more than</w:t>
      </w:r>
      <w:r>
        <w:t xml:space="preserve"> $</w:t>
      </w:r>
      <w:r w:rsidR="009D3DCD">
        <w:t>3</w:t>
      </w:r>
      <w:r w:rsidR="0080102C">
        <w:t>1</w:t>
      </w:r>
      <w:r>
        <w:t xml:space="preserve"> million in contributions from </w:t>
      </w:r>
      <w:r w:rsidR="00171FDF">
        <w:t>2,</w:t>
      </w:r>
      <w:r w:rsidR="00C67FF4">
        <w:t>696</w:t>
      </w:r>
      <w:r>
        <w:t xml:space="preserve"> bankruptcies. This includes voluntary contributions. </w:t>
      </w:r>
    </w:p>
    <w:p w14:paraId="4854911C" w14:textId="396D28FE" w:rsidR="00523426" w:rsidRPr="00523426" w:rsidRDefault="00523426" w:rsidP="00523426">
      <w:r w:rsidRPr="00523426">
        <w:t xml:space="preserve">Trustees declared and paid dividends in </w:t>
      </w:r>
      <w:r w:rsidR="00E538C2">
        <w:t>1</w:t>
      </w:r>
      <w:r w:rsidRPr="00523426">
        <w:t>,</w:t>
      </w:r>
      <w:r w:rsidR="00C307F5">
        <w:t>320</w:t>
      </w:r>
      <w:r w:rsidRPr="00523426">
        <w:t xml:space="preserve"> bankruptcies in 202</w:t>
      </w:r>
      <w:r w:rsidR="000E147E">
        <w:t>2</w:t>
      </w:r>
      <w:r w:rsidRPr="00523426">
        <w:t>–2</w:t>
      </w:r>
      <w:r w:rsidR="000E147E">
        <w:t>3</w:t>
      </w:r>
      <w:r w:rsidRPr="00523426">
        <w:t xml:space="preserve">. These dividends returned </w:t>
      </w:r>
      <w:r w:rsidR="0F9C1234">
        <w:t>more than</w:t>
      </w:r>
      <w:r>
        <w:t xml:space="preserve"> $6</w:t>
      </w:r>
      <w:r w:rsidR="4C58996D">
        <w:t>4</w:t>
      </w:r>
      <w:r w:rsidRPr="00523426">
        <w:t xml:space="preserve"> million to creditors. </w:t>
      </w:r>
    </w:p>
    <w:tbl>
      <w:tblPr>
        <w:tblStyle w:val="TableGrid"/>
        <w:tblW w:w="0" w:type="auto"/>
        <w:tblLook w:val="04A0" w:firstRow="1" w:lastRow="0" w:firstColumn="1" w:lastColumn="0" w:noHBand="0" w:noVBand="1"/>
      </w:tblPr>
      <w:tblGrid>
        <w:gridCol w:w="3681"/>
        <w:gridCol w:w="2667"/>
        <w:gridCol w:w="2668"/>
      </w:tblGrid>
      <w:tr w:rsidR="00523426" w:rsidRPr="00523426" w14:paraId="2E8A3C0D" w14:textId="77777777" w:rsidTr="00ED06FF">
        <w:tc>
          <w:tcPr>
            <w:tcW w:w="3681" w:type="dxa"/>
          </w:tcPr>
          <w:p w14:paraId="6F4FC90B" w14:textId="77777777" w:rsidR="00523426" w:rsidRPr="00523426" w:rsidRDefault="00523426" w:rsidP="00ED06FF"/>
        </w:tc>
        <w:tc>
          <w:tcPr>
            <w:tcW w:w="2667" w:type="dxa"/>
          </w:tcPr>
          <w:p w14:paraId="62E09E16" w14:textId="334CB9FC" w:rsidR="00523426" w:rsidRPr="00523426" w:rsidRDefault="00523426" w:rsidP="00ED06FF">
            <w:r w:rsidRPr="00523426">
              <w:t>Administered by the Official Trustee: 202</w:t>
            </w:r>
            <w:r w:rsidR="002C4092">
              <w:t>2</w:t>
            </w:r>
            <w:r w:rsidRPr="00523426">
              <w:t>–2</w:t>
            </w:r>
            <w:r w:rsidR="002C4092">
              <w:t>3</w:t>
            </w:r>
          </w:p>
        </w:tc>
        <w:tc>
          <w:tcPr>
            <w:tcW w:w="2668" w:type="dxa"/>
          </w:tcPr>
          <w:p w14:paraId="5E1D8BD4" w14:textId="4B08CB13" w:rsidR="00523426" w:rsidRPr="00523426" w:rsidRDefault="00523426" w:rsidP="00ED06FF">
            <w:r w:rsidRPr="00523426">
              <w:t>Administered by registered trustees: 20</w:t>
            </w:r>
            <w:r w:rsidR="00B20690">
              <w:t>2</w:t>
            </w:r>
            <w:r w:rsidR="002C4092">
              <w:t>2</w:t>
            </w:r>
            <w:r w:rsidRPr="00523426">
              <w:t>–2</w:t>
            </w:r>
            <w:r w:rsidR="002C4092">
              <w:t>3</w:t>
            </w:r>
          </w:p>
        </w:tc>
      </w:tr>
      <w:tr w:rsidR="00523426" w:rsidRPr="00523426" w14:paraId="512CD545" w14:textId="77777777" w:rsidTr="00ED06FF">
        <w:tc>
          <w:tcPr>
            <w:tcW w:w="3681" w:type="dxa"/>
          </w:tcPr>
          <w:p w14:paraId="082E981E" w14:textId="77777777" w:rsidR="00523426" w:rsidRPr="00523426" w:rsidRDefault="00523426" w:rsidP="00ED06FF">
            <w:r w:rsidRPr="00523426">
              <w:t>Number of bankruptcies in which contributions were paid*</w:t>
            </w:r>
          </w:p>
        </w:tc>
        <w:tc>
          <w:tcPr>
            <w:tcW w:w="2667" w:type="dxa"/>
            <w:shd w:val="clear" w:color="auto" w:fill="auto"/>
          </w:tcPr>
          <w:p w14:paraId="7E8E5EC2" w14:textId="13216813" w:rsidR="00523426" w:rsidRPr="00523426" w:rsidRDefault="00F614C2" w:rsidP="00ED06FF">
            <w:pPr>
              <w:jc w:val="right"/>
            </w:pPr>
            <w:r>
              <w:t>251</w:t>
            </w:r>
          </w:p>
        </w:tc>
        <w:tc>
          <w:tcPr>
            <w:tcW w:w="2668" w:type="dxa"/>
            <w:shd w:val="clear" w:color="auto" w:fill="auto"/>
          </w:tcPr>
          <w:p w14:paraId="36D62A98" w14:textId="705BDD38" w:rsidR="00523426" w:rsidRPr="00523426" w:rsidRDefault="00F677D1" w:rsidP="00ED06FF">
            <w:pPr>
              <w:jc w:val="right"/>
            </w:pPr>
            <w:r>
              <w:t>2</w:t>
            </w:r>
            <w:r w:rsidR="00523426" w:rsidRPr="00523426">
              <w:t>,</w:t>
            </w:r>
            <w:r w:rsidR="00EE1ABC">
              <w:t>445</w:t>
            </w:r>
          </w:p>
        </w:tc>
      </w:tr>
      <w:tr w:rsidR="002C4092" w:rsidRPr="00523426" w14:paraId="0319EB0E" w14:textId="77777777" w:rsidTr="00ED06FF">
        <w:tc>
          <w:tcPr>
            <w:tcW w:w="3681" w:type="dxa"/>
          </w:tcPr>
          <w:p w14:paraId="3FFE9FEB" w14:textId="77777777" w:rsidR="002C4092" w:rsidRPr="00523426" w:rsidRDefault="002C4092" w:rsidP="002C4092">
            <w:r w:rsidRPr="00523426">
              <w:t>Value of contributions ($)*</w:t>
            </w:r>
          </w:p>
        </w:tc>
        <w:tc>
          <w:tcPr>
            <w:tcW w:w="2667" w:type="dxa"/>
            <w:shd w:val="clear" w:color="auto" w:fill="auto"/>
          </w:tcPr>
          <w:p w14:paraId="2649CAC5" w14:textId="0946A192" w:rsidR="002C4092" w:rsidRPr="00523426" w:rsidRDefault="002C4092" w:rsidP="002C4092">
            <w:pPr>
              <w:jc w:val="right"/>
            </w:pPr>
            <w:r w:rsidRPr="00391256">
              <w:t>$1,161,391</w:t>
            </w:r>
          </w:p>
        </w:tc>
        <w:tc>
          <w:tcPr>
            <w:tcW w:w="2668" w:type="dxa"/>
            <w:shd w:val="clear" w:color="auto" w:fill="auto"/>
          </w:tcPr>
          <w:p w14:paraId="77F4BD95" w14:textId="25C2FD93" w:rsidR="002C4092" w:rsidRPr="00523426" w:rsidRDefault="002C4092" w:rsidP="002C4092">
            <w:pPr>
              <w:jc w:val="right"/>
            </w:pPr>
            <w:r w:rsidRPr="00391256">
              <w:t>$30,018,295</w:t>
            </w:r>
          </w:p>
        </w:tc>
      </w:tr>
      <w:tr w:rsidR="00556569" w:rsidRPr="00523426" w14:paraId="200AD68F" w14:textId="77777777" w:rsidTr="00ED06FF">
        <w:tc>
          <w:tcPr>
            <w:tcW w:w="3681" w:type="dxa"/>
          </w:tcPr>
          <w:p w14:paraId="145B172F" w14:textId="77777777" w:rsidR="00556569" w:rsidRPr="00523426" w:rsidRDefault="00556569" w:rsidP="00556569">
            <w:r w:rsidRPr="00523426">
              <w:t>Number of bankruptcies in which dividends (interim and final) were declared and paid</w:t>
            </w:r>
          </w:p>
        </w:tc>
        <w:tc>
          <w:tcPr>
            <w:tcW w:w="2667" w:type="dxa"/>
            <w:shd w:val="clear" w:color="auto" w:fill="auto"/>
          </w:tcPr>
          <w:p w14:paraId="0595282B" w14:textId="583A662A" w:rsidR="00556569" w:rsidRPr="00523426" w:rsidRDefault="00556569" w:rsidP="00556569">
            <w:pPr>
              <w:jc w:val="right"/>
              <w:rPr>
                <w:rFonts w:ascii="Calibri" w:hAnsi="Calibri"/>
                <w:color w:val="000000"/>
              </w:rPr>
            </w:pPr>
            <w:r w:rsidRPr="00AC1F32">
              <w:t>434</w:t>
            </w:r>
          </w:p>
        </w:tc>
        <w:tc>
          <w:tcPr>
            <w:tcW w:w="2668" w:type="dxa"/>
            <w:shd w:val="clear" w:color="auto" w:fill="auto"/>
          </w:tcPr>
          <w:p w14:paraId="4632A5AE" w14:textId="482C1AEA" w:rsidR="00556569" w:rsidRPr="00523426" w:rsidRDefault="00556569" w:rsidP="00556569">
            <w:pPr>
              <w:jc w:val="right"/>
              <w:rPr>
                <w:rFonts w:ascii="Calibri" w:hAnsi="Calibri"/>
                <w:color w:val="000000"/>
              </w:rPr>
            </w:pPr>
            <w:r w:rsidRPr="00AC1F32">
              <w:t>886</w:t>
            </w:r>
          </w:p>
        </w:tc>
      </w:tr>
      <w:tr w:rsidR="006D1D94" w:rsidRPr="00CD70A9" w14:paraId="11D6B16A" w14:textId="77777777" w:rsidTr="00ED06FF">
        <w:tc>
          <w:tcPr>
            <w:tcW w:w="3681" w:type="dxa"/>
          </w:tcPr>
          <w:p w14:paraId="5AD5F753" w14:textId="77777777" w:rsidR="006D1D94" w:rsidRPr="00523426" w:rsidRDefault="006D1D94" w:rsidP="006D1D94">
            <w:r w:rsidRPr="00523426">
              <w:t>Value of dividends ($)</w:t>
            </w:r>
          </w:p>
        </w:tc>
        <w:tc>
          <w:tcPr>
            <w:tcW w:w="2667" w:type="dxa"/>
            <w:shd w:val="clear" w:color="auto" w:fill="auto"/>
          </w:tcPr>
          <w:p w14:paraId="5D7E2103" w14:textId="16E0ADB2" w:rsidR="006D1D94" w:rsidRPr="00523426" w:rsidRDefault="006D1D94" w:rsidP="006D1D94">
            <w:pPr>
              <w:jc w:val="right"/>
              <w:rPr>
                <w:rFonts w:ascii="Calibri" w:hAnsi="Calibri"/>
                <w:color w:val="000000"/>
              </w:rPr>
            </w:pPr>
            <w:r w:rsidRPr="006C4C3D">
              <w:t>$7,600,189</w:t>
            </w:r>
          </w:p>
        </w:tc>
        <w:tc>
          <w:tcPr>
            <w:tcW w:w="2668" w:type="dxa"/>
            <w:shd w:val="clear" w:color="auto" w:fill="auto"/>
          </w:tcPr>
          <w:p w14:paraId="4AC56594" w14:textId="387C1A5D" w:rsidR="006D1D94" w:rsidRPr="00523426" w:rsidRDefault="006D1D94" w:rsidP="006D1D94">
            <w:pPr>
              <w:jc w:val="right"/>
              <w:rPr>
                <w:rFonts w:ascii="Calibri" w:hAnsi="Calibri"/>
                <w:color w:val="000000"/>
              </w:rPr>
            </w:pPr>
            <w:r w:rsidRPr="006C4C3D">
              <w:t>$56,791,934</w:t>
            </w:r>
          </w:p>
        </w:tc>
      </w:tr>
    </w:tbl>
    <w:p w14:paraId="7460F065" w14:textId="77777777" w:rsidR="00523426" w:rsidRPr="00F5510C" w:rsidRDefault="00523426" w:rsidP="00523426">
      <w:r w:rsidRPr="00F5510C">
        <w:t>* Includes voluntary contributions.</w:t>
      </w:r>
    </w:p>
    <w:p w14:paraId="45F33812" w14:textId="77777777" w:rsidR="00523426" w:rsidRPr="008F0C72" w:rsidRDefault="00523426" w:rsidP="00523426">
      <w:pPr>
        <w:pStyle w:val="Heading4"/>
      </w:pPr>
      <w:r w:rsidRPr="008F0C72">
        <w:t>Rate of return – bankruptcies</w:t>
      </w:r>
    </w:p>
    <w:p w14:paraId="1EBADB3D" w14:textId="3845CE02" w:rsidR="00523426" w:rsidRPr="008F0C72" w:rsidRDefault="00523426" w:rsidP="00523426">
      <w:r w:rsidRPr="008F0C72">
        <w:t>There were</w:t>
      </w:r>
      <w:r w:rsidR="00DC126A">
        <w:t xml:space="preserve"> </w:t>
      </w:r>
      <w:r w:rsidR="00DB12A9">
        <w:t>8</w:t>
      </w:r>
      <w:r w:rsidR="00DB12A9" w:rsidRPr="004557CD">
        <w:t>,</w:t>
      </w:r>
      <w:r w:rsidR="00DB12A9">
        <w:t>01</w:t>
      </w:r>
      <w:r w:rsidR="00DB12A9" w:rsidRPr="004557CD">
        <w:t>9</w:t>
      </w:r>
      <w:r w:rsidRPr="008F0C72">
        <w:t xml:space="preserve"> bankrupt estates finalised in 202</w:t>
      </w:r>
      <w:r w:rsidR="00DB12A9">
        <w:t>2</w:t>
      </w:r>
      <w:r w:rsidRPr="008F0C72">
        <w:t>–2</w:t>
      </w:r>
      <w:r w:rsidR="00DB12A9">
        <w:t>3</w:t>
      </w:r>
      <w:r w:rsidRPr="008F0C72">
        <w:t xml:space="preserve">. Unsecured creditors received an average of </w:t>
      </w:r>
      <w:r w:rsidR="00DC126A">
        <w:t>2</w:t>
      </w:r>
      <w:r w:rsidRPr="008F0C72">
        <w:t>.</w:t>
      </w:r>
      <w:r w:rsidR="00DB12A9">
        <w:t>19</w:t>
      </w:r>
      <w:r w:rsidRPr="008F0C72">
        <w:t xml:space="preserve"> cents for every dollar they were owed. </w:t>
      </w:r>
    </w:p>
    <w:p w14:paraId="01797EB1" w14:textId="77777777" w:rsidR="00523426" w:rsidRPr="008F0C72" w:rsidRDefault="00523426" w:rsidP="00523426">
      <w:pPr>
        <w:rPr>
          <w:rFonts w:cs="Arial"/>
        </w:rPr>
      </w:pPr>
      <w:r w:rsidRPr="008F0C72">
        <w:rPr>
          <w:rFonts w:cs="Arial"/>
        </w:rPr>
        <w:t>The following table shows the average rate of return in bankrupt estates. An insolvency proceeding is reported as one administration regardless of whether there are multiple debtors. Each partner in the insolvency proceeding has an estate.</w:t>
      </w:r>
    </w:p>
    <w:tbl>
      <w:tblPr>
        <w:tblStyle w:val="TableGrid"/>
        <w:tblW w:w="0" w:type="auto"/>
        <w:tblLook w:val="04A0" w:firstRow="1" w:lastRow="0" w:firstColumn="1" w:lastColumn="0" w:noHBand="0" w:noVBand="1"/>
      </w:tblPr>
      <w:tblGrid>
        <w:gridCol w:w="2254"/>
        <w:gridCol w:w="2254"/>
        <w:gridCol w:w="2254"/>
        <w:gridCol w:w="2254"/>
      </w:tblGrid>
      <w:tr w:rsidR="00523426" w:rsidRPr="00CD70A9" w14:paraId="6F5C1117" w14:textId="77777777" w:rsidTr="00ED06FF">
        <w:tc>
          <w:tcPr>
            <w:tcW w:w="2254" w:type="dxa"/>
            <w:vAlign w:val="bottom"/>
          </w:tcPr>
          <w:p w14:paraId="2CFE0360" w14:textId="77777777" w:rsidR="00523426" w:rsidRPr="008F0C72" w:rsidRDefault="00523426" w:rsidP="00ED06FF">
            <w:pPr>
              <w:pStyle w:val="Heading3"/>
            </w:pPr>
            <w:r w:rsidRPr="008F0C72">
              <w:rPr>
                <w:rFonts w:ascii="Calibri" w:hAnsi="Calibri"/>
                <w:color w:val="000000"/>
                <w:sz w:val="22"/>
                <w:szCs w:val="22"/>
              </w:rPr>
              <w:lastRenderedPageBreak/>
              <w:t> </w:t>
            </w:r>
          </w:p>
        </w:tc>
        <w:tc>
          <w:tcPr>
            <w:tcW w:w="2254" w:type="dxa"/>
            <w:vAlign w:val="bottom"/>
          </w:tcPr>
          <w:p w14:paraId="27D440C3" w14:textId="3D18FDDB" w:rsidR="00523426" w:rsidRPr="008F0C72" w:rsidRDefault="00523426" w:rsidP="00ED06FF">
            <w:pPr>
              <w:pStyle w:val="Heading3"/>
            </w:pPr>
            <w:r w:rsidRPr="008F0C72">
              <w:rPr>
                <w:rFonts w:ascii="Calibri" w:hAnsi="Calibri"/>
                <w:b/>
                <w:bCs/>
                <w:color w:val="000000"/>
                <w:sz w:val="22"/>
                <w:szCs w:val="22"/>
              </w:rPr>
              <w:t>Official Trustee: 20</w:t>
            </w:r>
            <w:r w:rsidR="008F0C72" w:rsidRPr="008F0C72">
              <w:rPr>
                <w:rFonts w:ascii="Calibri" w:hAnsi="Calibri"/>
                <w:b/>
                <w:bCs/>
                <w:color w:val="000000"/>
                <w:sz w:val="22"/>
                <w:szCs w:val="22"/>
              </w:rPr>
              <w:t>2</w:t>
            </w:r>
            <w:r w:rsidR="009B64DC">
              <w:rPr>
                <w:rFonts w:ascii="Calibri" w:hAnsi="Calibri"/>
                <w:b/>
                <w:bCs/>
                <w:color w:val="000000"/>
                <w:sz w:val="22"/>
                <w:szCs w:val="22"/>
              </w:rPr>
              <w:t>2</w:t>
            </w:r>
            <w:r w:rsidRPr="008F0C72">
              <w:rPr>
                <w:rFonts w:ascii="Calibri" w:hAnsi="Calibri"/>
                <w:b/>
                <w:bCs/>
                <w:color w:val="000000"/>
                <w:sz w:val="22"/>
                <w:szCs w:val="22"/>
              </w:rPr>
              <w:t>–</w:t>
            </w:r>
            <w:r w:rsidR="008F0C72" w:rsidRPr="008F0C72">
              <w:rPr>
                <w:rFonts w:ascii="Calibri" w:hAnsi="Calibri"/>
                <w:b/>
                <w:bCs/>
                <w:color w:val="000000"/>
                <w:sz w:val="22"/>
                <w:szCs w:val="22"/>
              </w:rPr>
              <w:t>2</w:t>
            </w:r>
            <w:r w:rsidR="009B64DC">
              <w:rPr>
                <w:rFonts w:ascii="Calibri" w:hAnsi="Calibri"/>
                <w:b/>
                <w:bCs/>
                <w:color w:val="000000"/>
                <w:sz w:val="22"/>
                <w:szCs w:val="22"/>
              </w:rPr>
              <w:t>3</w:t>
            </w:r>
          </w:p>
        </w:tc>
        <w:tc>
          <w:tcPr>
            <w:tcW w:w="2254" w:type="dxa"/>
            <w:vAlign w:val="bottom"/>
          </w:tcPr>
          <w:p w14:paraId="14C53160" w14:textId="664FECCF" w:rsidR="00523426" w:rsidRPr="008F0C72" w:rsidRDefault="00523426" w:rsidP="00ED06FF">
            <w:pPr>
              <w:pStyle w:val="Heading3"/>
            </w:pPr>
            <w:r w:rsidRPr="008F0C72">
              <w:rPr>
                <w:rFonts w:ascii="Calibri" w:hAnsi="Calibri"/>
                <w:b/>
                <w:bCs/>
                <w:color w:val="000000"/>
                <w:sz w:val="22"/>
                <w:szCs w:val="22"/>
              </w:rPr>
              <w:t>Registered trustees: 20</w:t>
            </w:r>
            <w:r w:rsidR="008F0C72" w:rsidRPr="008F0C72">
              <w:rPr>
                <w:rFonts w:ascii="Calibri" w:hAnsi="Calibri"/>
                <w:b/>
                <w:bCs/>
                <w:color w:val="000000"/>
                <w:sz w:val="22"/>
                <w:szCs w:val="22"/>
              </w:rPr>
              <w:t>2</w:t>
            </w:r>
            <w:r w:rsidR="00363500">
              <w:rPr>
                <w:rFonts w:ascii="Calibri" w:hAnsi="Calibri"/>
                <w:b/>
                <w:bCs/>
                <w:color w:val="000000"/>
                <w:sz w:val="22"/>
                <w:szCs w:val="22"/>
              </w:rPr>
              <w:t>2</w:t>
            </w:r>
            <w:r w:rsidRPr="008F0C72">
              <w:rPr>
                <w:rFonts w:ascii="Calibri" w:hAnsi="Calibri"/>
                <w:b/>
                <w:bCs/>
                <w:color w:val="000000"/>
                <w:sz w:val="22"/>
                <w:szCs w:val="22"/>
              </w:rPr>
              <w:t>–</w:t>
            </w:r>
            <w:r w:rsidR="008F0C72" w:rsidRPr="008F0C72">
              <w:rPr>
                <w:rFonts w:ascii="Calibri" w:hAnsi="Calibri"/>
                <w:b/>
                <w:bCs/>
                <w:color w:val="000000"/>
                <w:sz w:val="22"/>
                <w:szCs w:val="22"/>
              </w:rPr>
              <w:t>2</w:t>
            </w:r>
            <w:r w:rsidR="00363500">
              <w:rPr>
                <w:rFonts w:ascii="Calibri" w:hAnsi="Calibri"/>
                <w:b/>
                <w:bCs/>
                <w:color w:val="000000"/>
                <w:sz w:val="22"/>
                <w:szCs w:val="22"/>
              </w:rPr>
              <w:t>3</w:t>
            </w:r>
          </w:p>
        </w:tc>
        <w:tc>
          <w:tcPr>
            <w:tcW w:w="2254" w:type="dxa"/>
            <w:vAlign w:val="bottom"/>
          </w:tcPr>
          <w:p w14:paraId="6C03F85E" w14:textId="1B16990F" w:rsidR="00523426" w:rsidRPr="008F0C72" w:rsidRDefault="00523426" w:rsidP="00ED06FF">
            <w:pPr>
              <w:pStyle w:val="Heading3"/>
            </w:pPr>
            <w:r w:rsidRPr="008F0C72">
              <w:rPr>
                <w:rFonts w:ascii="Calibri" w:hAnsi="Calibri"/>
                <w:b/>
                <w:bCs/>
                <w:color w:val="000000"/>
                <w:sz w:val="22"/>
                <w:szCs w:val="22"/>
              </w:rPr>
              <w:t>Total: 20</w:t>
            </w:r>
            <w:r w:rsidR="008F0C72" w:rsidRPr="008F0C72">
              <w:rPr>
                <w:rFonts w:ascii="Calibri" w:hAnsi="Calibri"/>
                <w:b/>
                <w:bCs/>
                <w:color w:val="000000"/>
                <w:sz w:val="22"/>
                <w:szCs w:val="22"/>
              </w:rPr>
              <w:t>2</w:t>
            </w:r>
            <w:r w:rsidR="00FC3DF0">
              <w:rPr>
                <w:rFonts w:ascii="Calibri" w:hAnsi="Calibri"/>
                <w:b/>
                <w:bCs/>
                <w:color w:val="000000"/>
                <w:sz w:val="22"/>
                <w:szCs w:val="22"/>
              </w:rPr>
              <w:t>2</w:t>
            </w:r>
            <w:r w:rsidRPr="008F0C72">
              <w:rPr>
                <w:rFonts w:ascii="Calibri" w:hAnsi="Calibri"/>
                <w:b/>
                <w:bCs/>
                <w:color w:val="000000"/>
                <w:sz w:val="22"/>
                <w:szCs w:val="22"/>
              </w:rPr>
              <w:t>–</w:t>
            </w:r>
            <w:r w:rsidR="008F0C72" w:rsidRPr="008F0C72">
              <w:rPr>
                <w:rFonts w:ascii="Calibri" w:hAnsi="Calibri"/>
                <w:b/>
                <w:bCs/>
                <w:color w:val="000000"/>
                <w:sz w:val="22"/>
                <w:szCs w:val="22"/>
              </w:rPr>
              <w:t>2</w:t>
            </w:r>
            <w:r w:rsidR="00FC3DF0">
              <w:rPr>
                <w:rFonts w:ascii="Calibri" w:hAnsi="Calibri"/>
                <w:b/>
                <w:bCs/>
                <w:color w:val="000000"/>
                <w:sz w:val="22"/>
                <w:szCs w:val="22"/>
              </w:rPr>
              <w:t>3</w:t>
            </w:r>
          </w:p>
        </w:tc>
      </w:tr>
      <w:tr w:rsidR="00980D96" w:rsidRPr="00CD70A9" w14:paraId="202F3A5C" w14:textId="77777777" w:rsidTr="00ED06FF">
        <w:tc>
          <w:tcPr>
            <w:tcW w:w="2254" w:type="dxa"/>
            <w:vAlign w:val="bottom"/>
          </w:tcPr>
          <w:p w14:paraId="3A0886FB" w14:textId="77777777" w:rsidR="00980D96" w:rsidRPr="008F0C72" w:rsidRDefault="00980D96" w:rsidP="00980D96">
            <w:pPr>
              <w:pStyle w:val="Heading3"/>
            </w:pPr>
            <w:r w:rsidRPr="008F0C72">
              <w:rPr>
                <w:rFonts w:ascii="Calibri" w:hAnsi="Calibri"/>
                <w:color w:val="000000"/>
                <w:sz w:val="22"/>
                <w:szCs w:val="22"/>
              </w:rPr>
              <w:t>Number of estates finalised during the year</w:t>
            </w:r>
          </w:p>
        </w:tc>
        <w:tc>
          <w:tcPr>
            <w:tcW w:w="2254" w:type="dxa"/>
            <w:shd w:val="clear" w:color="auto" w:fill="auto"/>
          </w:tcPr>
          <w:p w14:paraId="742F2D1D" w14:textId="6BAFE195" w:rsidR="00980D96" w:rsidRPr="008F0C72" w:rsidRDefault="00980D96" w:rsidP="00980D96">
            <w:pPr>
              <w:jc w:val="right"/>
            </w:pPr>
            <w:r w:rsidRPr="00014B55">
              <w:t>5,400</w:t>
            </w:r>
          </w:p>
        </w:tc>
        <w:tc>
          <w:tcPr>
            <w:tcW w:w="2254" w:type="dxa"/>
            <w:shd w:val="clear" w:color="auto" w:fill="auto"/>
          </w:tcPr>
          <w:p w14:paraId="50E29AE2" w14:textId="6EEC6F8C" w:rsidR="00980D96" w:rsidRPr="008F0C72" w:rsidRDefault="00980D96" w:rsidP="00980D96">
            <w:pPr>
              <w:jc w:val="right"/>
            </w:pPr>
            <w:r w:rsidRPr="004557CD">
              <w:t>2,6</w:t>
            </w:r>
            <w:r w:rsidR="002436DB">
              <w:t>19</w:t>
            </w:r>
          </w:p>
        </w:tc>
        <w:tc>
          <w:tcPr>
            <w:tcW w:w="2254" w:type="dxa"/>
            <w:shd w:val="clear" w:color="auto" w:fill="auto"/>
          </w:tcPr>
          <w:p w14:paraId="205CB8EE" w14:textId="5F67BCFD" w:rsidR="00980D96" w:rsidRPr="008F0C72" w:rsidRDefault="00DA0404" w:rsidP="00980D96">
            <w:pPr>
              <w:jc w:val="right"/>
            </w:pPr>
            <w:r>
              <w:t>8</w:t>
            </w:r>
            <w:r w:rsidR="00980D96" w:rsidRPr="004557CD">
              <w:t>,</w:t>
            </w:r>
            <w:r>
              <w:t>01</w:t>
            </w:r>
            <w:r w:rsidR="00980D96" w:rsidRPr="004557CD">
              <w:t>9</w:t>
            </w:r>
          </w:p>
        </w:tc>
      </w:tr>
      <w:tr w:rsidR="00980D96" w:rsidRPr="00CD70A9" w14:paraId="1D5E8FAD" w14:textId="77777777" w:rsidTr="00ED06FF">
        <w:tc>
          <w:tcPr>
            <w:tcW w:w="2254" w:type="dxa"/>
            <w:vAlign w:val="bottom"/>
          </w:tcPr>
          <w:p w14:paraId="4EDEA23B" w14:textId="77777777" w:rsidR="00980D96" w:rsidRPr="008F0C72" w:rsidRDefault="00980D96" w:rsidP="00980D96">
            <w:pPr>
              <w:pStyle w:val="Heading3"/>
            </w:pPr>
            <w:r w:rsidRPr="008F0C72">
              <w:rPr>
                <w:rFonts w:ascii="Calibri" w:hAnsi="Calibri"/>
                <w:color w:val="000000"/>
                <w:sz w:val="22"/>
                <w:szCs w:val="22"/>
              </w:rPr>
              <w:t>Number of finalised estates that have paid a dividend</w:t>
            </w:r>
          </w:p>
        </w:tc>
        <w:tc>
          <w:tcPr>
            <w:tcW w:w="2254" w:type="dxa"/>
            <w:shd w:val="clear" w:color="auto" w:fill="auto"/>
          </w:tcPr>
          <w:p w14:paraId="4E027DDC" w14:textId="756BB75F" w:rsidR="00980D96" w:rsidRPr="008F0C72" w:rsidRDefault="00980D96" w:rsidP="00980D96">
            <w:pPr>
              <w:jc w:val="right"/>
            </w:pPr>
            <w:r w:rsidRPr="00014B55">
              <w:t>457</w:t>
            </w:r>
          </w:p>
        </w:tc>
        <w:tc>
          <w:tcPr>
            <w:tcW w:w="2254" w:type="dxa"/>
            <w:shd w:val="clear" w:color="auto" w:fill="auto"/>
          </w:tcPr>
          <w:p w14:paraId="50A34540" w14:textId="15CF9867" w:rsidR="00980D96" w:rsidRPr="008F0C72" w:rsidRDefault="00980D96" w:rsidP="00980D96">
            <w:pPr>
              <w:jc w:val="right"/>
            </w:pPr>
            <w:r w:rsidRPr="00A67127">
              <w:t>7</w:t>
            </w:r>
            <w:r w:rsidR="002436DB">
              <w:t>70</w:t>
            </w:r>
          </w:p>
        </w:tc>
        <w:tc>
          <w:tcPr>
            <w:tcW w:w="2254" w:type="dxa"/>
            <w:shd w:val="clear" w:color="auto" w:fill="auto"/>
          </w:tcPr>
          <w:p w14:paraId="22A48A68" w14:textId="7A000D13" w:rsidR="00980D96" w:rsidRPr="008F0C72" w:rsidRDefault="00980D96" w:rsidP="00980D96">
            <w:pPr>
              <w:jc w:val="right"/>
            </w:pPr>
            <w:r w:rsidRPr="00A67127">
              <w:t>1,</w:t>
            </w:r>
            <w:r w:rsidR="00F61577">
              <w:t>227</w:t>
            </w:r>
          </w:p>
        </w:tc>
      </w:tr>
      <w:tr w:rsidR="00395923" w:rsidRPr="00CD70A9" w14:paraId="7F88BDB5" w14:textId="77777777" w:rsidTr="00ED06FF">
        <w:tc>
          <w:tcPr>
            <w:tcW w:w="2254" w:type="dxa"/>
            <w:vAlign w:val="bottom"/>
          </w:tcPr>
          <w:p w14:paraId="4FBA95CC" w14:textId="77777777" w:rsidR="00395923" w:rsidRPr="008F0C72" w:rsidRDefault="00395923" w:rsidP="00395923">
            <w:pPr>
              <w:pStyle w:val="Heading3"/>
            </w:pPr>
            <w:r w:rsidRPr="008F0C72">
              <w:rPr>
                <w:rFonts w:ascii="Calibri" w:hAnsi="Calibri"/>
                <w:color w:val="000000"/>
                <w:sz w:val="22"/>
                <w:szCs w:val="22"/>
              </w:rPr>
              <w:t>Percentage of finalised estates that have paid a dividend</w:t>
            </w:r>
          </w:p>
        </w:tc>
        <w:tc>
          <w:tcPr>
            <w:tcW w:w="2254" w:type="dxa"/>
            <w:shd w:val="clear" w:color="auto" w:fill="auto"/>
          </w:tcPr>
          <w:p w14:paraId="4411848E" w14:textId="42E91057" w:rsidR="00395923" w:rsidRPr="008F0C72" w:rsidRDefault="009B64DC" w:rsidP="00395923">
            <w:pPr>
              <w:jc w:val="right"/>
            </w:pPr>
            <w:r w:rsidRPr="009B64DC">
              <w:t>8.46%</w:t>
            </w:r>
          </w:p>
        </w:tc>
        <w:tc>
          <w:tcPr>
            <w:tcW w:w="2254" w:type="dxa"/>
            <w:shd w:val="clear" w:color="auto" w:fill="auto"/>
          </w:tcPr>
          <w:p w14:paraId="6F17266E" w14:textId="55BBF0B5" w:rsidR="00395923" w:rsidRPr="008F0C72" w:rsidRDefault="00395923" w:rsidP="00395923">
            <w:pPr>
              <w:jc w:val="right"/>
            </w:pPr>
            <w:r w:rsidRPr="00A67127">
              <w:t>2</w:t>
            </w:r>
            <w:r w:rsidR="002436DB">
              <w:t>9</w:t>
            </w:r>
            <w:r w:rsidRPr="00A67127">
              <w:t>.</w:t>
            </w:r>
            <w:r w:rsidR="002436DB">
              <w:t>40</w:t>
            </w:r>
            <w:r w:rsidRPr="00A67127">
              <w:t>%</w:t>
            </w:r>
          </w:p>
        </w:tc>
        <w:tc>
          <w:tcPr>
            <w:tcW w:w="2254" w:type="dxa"/>
            <w:shd w:val="clear" w:color="auto" w:fill="auto"/>
          </w:tcPr>
          <w:p w14:paraId="662A4AE9" w14:textId="5DE774D7" w:rsidR="00395923" w:rsidRPr="008F0C72" w:rsidRDefault="00395923" w:rsidP="00395923">
            <w:pPr>
              <w:jc w:val="right"/>
            </w:pPr>
            <w:r w:rsidRPr="00A67127">
              <w:t>1</w:t>
            </w:r>
            <w:r w:rsidR="00087872">
              <w:t>5</w:t>
            </w:r>
            <w:r w:rsidRPr="00A67127">
              <w:t>.</w:t>
            </w:r>
            <w:r w:rsidR="00087872">
              <w:t>30</w:t>
            </w:r>
            <w:r w:rsidRPr="00A67127">
              <w:t>%</w:t>
            </w:r>
          </w:p>
        </w:tc>
      </w:tr>
      <w:tr w:rsidR="00395923" w:rsidRPr="00CD70A9" w14:paraId="193E2ACD" w14:textId="77777777" w:rsidTr="00ED06FF">
        <w:tc>
          <w:tcPr>
            <w:tcW w:w="2254" w:type="dxa"/>
            <w:vAlign w:val="bottom"/>
          </w:tcPr>
          <w:p w14:paraId="3BE2CCA1" w14:textId="77777777" w:rsidR="00395923" w:rsidRPr="008F0C72" w:rsidRDefault="00395923" w:rsidP="00395923">
            <w:pPr>
              <w:pStyle w:val="Heading3"/>
            </w:pPr>
            <w:r w:rsidRPr="008F0C72">
              <w:rPr>
                <w:rFonts w:ascii="Calibri" w:hAnsi="Calibri"/>
                <w:color w:val="000000"/>
                <w:sz w:val="22"/>
                <w:szCs w:val="22"/>
              </w:rPr>
              <w:t>Average rate of return for unsecured creditors in dividend paying estates (cents per dollar)</w:t>
            </w:r>
          </w:p>
        </w:tc>
        <w:tc>
          <w:tcPr>
            <w:tcW w:w="2254" w:type="dxa"/>
            <w:shd w:val="clear" w:color="auto" w:fill="auto"/>
          </w:tcPr>
          <w:p w14:paraId="06D10A58" w14:textId="27B33F7E" w:rsidR="00395923" w:rsidRPr="008F0C72" w:rsidRDefault="00395923" w:rsidP="00395923">
            <w:pPr>
              <w:jc w:val="right"/>
            </w:pPr>
            <w:r w:rsidRPr="00A4723C">
              <w:t>7.</w:t>
            </w:r>
            <w:r w:rsidR="009B64DC">
              <w:t>78</w:t>
            </w:r>
          </w:p>
        </w:tc>
        <w:tc>
          <w:tcPr>
            <w:tcW w:w="2254" w:type="dxa"/>
            <w:shd w:val="clear" w:color="auto" w:fill="auto"/>
          </w:tcPr>
          <w:p w14:paraId="1C867AE2" w14:textId="0ED162AE" w:rsidR="00395923" w:rsidRPr="008F0C72" w:rsidRDefault="00CA1ACD" w:rsidP="00395923">
            <w:pPr>
              <w:jc w:val="right"/>
            </w:pPr>
            <w:r>
              <w:t>10</w:t>
            </w:r>
            <w:r w:rsidRPr="00A4723C">
              <w:t>.</w:t>
            </w:r>
            <w:r>
              <w:t>83</w:t>
            </w:r>
          </w:p>
        </w:tc>
        <w:tc>
          <w:tcPr>
            <w:tcW w:w="2254" w:type="dxa"/>
            <w:shd w:val="clear" w:color="auto" w:fill="auto"/>
          </w:tcPr>
          <w:p w14:paraId="6E24EA51" w14:textId="6BE55CB1" w:rsidR="00395923" w:rsidRPr="008F0C72" w:rsidRDefault="00B43BE1" w:rsidP="00395923">
            <w:pPr>
              <w:jc w:val="right"/>
            </w:pPr>
            <w:r>
              <w:t>10</w:t>
            </w:r>
            <w:r w:rsidR="00395923" w:rsidRPr="00A4723C">
              <w:t>.0</w:t>
            </w:r>
            <w:r w:rsidR="00CA1ACD">
              <w:t>4</w:t>
            </w:r>
          </w:p>
        </w:tc>
      </w:tr>
      <w:tr w:rsidR="00395923" w:rsidRPr="00CD70A9" w14:paraId="59429B8E" w14:textId="77777777" w:rsidTr="00ED06FF">
        <w:tc>
          <w:tcPr>
            <w:tcW w:w="2254" w:type="dxa"/>
            <w:vAlign w:val="bottom"/>
          </w:tcPr>
          <w:p w14:paraId="00FCBA3E" w14:textId="77777777" w:rsidR="00395923" w:rsidRPr="008F0C72" w:rsidRDefault="00395923" w:rsidP="00395923">
            <w:pPr>
              <w:pStyle w:val="Heading3"/>
            </w:pPr>
            <w:r w:rsidRPr="008F0C72">
              <w:rPr>
                <w:rFonts w:ascii="Calibri" w:hAnsi="Calibri"/>
                <w:color w:val="000000"/>
                <w:sz w:val="22"/>
                <w:szCs w:val="22"/>
              </w:rPr>
              <w:t>Average rate of return for unsecured creditors in all finalised estates (cents per dollar)</w:t>
            </w:r>
          </w:p>
        </w:tc>
        <w:tc>
          <w:tcPr>
            <w:tcW w:w="2254" w:type="dxa"/>
            <w:shd w:val="clear" w:color="auto" w:fill="auto"/>
          </w:tcPr>
          <w:p w14:paraId="7A817FBD" w14:textId="0ECE86C1" w:rsidR="00395923" w:rsidRPr="008F0C72" w:rsidRDefault="00000379" w:rsidP="00395923">
            <w:pPr>
              <w:jc w:val="right"/>
            </w:pPr>
            <w:r>
              <w:t>1.27</w:t>
            </w:r>
          </w:p>
        </w:tc>
        <w:tc>
          <w:tcPr>
            <w:tcW w:w="2254" w:type="dxa"/>
            <w:shd w:val="clear" w:color="auto" w:fill="auto"/>
          </w:tcPr>
          <w:p w14:paraId="550E5DBC" w14:textId="11C37585" w:rsidR="00395923" w:rsidRPr="008F0C72" w:rsidRDefault="00CA1ACD" w:rsidP="00395923">
            <w:pPr>
              <w:jc w:val="right"/>
            </w:pPr>
            <w:r>
              <w:t>2</w:t>
            </w:r>
            <w:r w:rsidRPr="00A4723C">
              <w:t>.</w:t>
            </w:r>
            <w:r>
              <w:t>68</w:t>
            </w:r>
          </w:p>
        </w:tc>
        <w:tc>
          <w:tcPr>
            <w:tcW w:w="2254" w:type="dxa"/>
            <w:shd w:val="clear" w:color="auto" w:fill="auto"/>
          </w:tcPr>
          <w:p w14:paraId="232EE637" w14:textId="3A1E6782" w:rsidR="00395923" w:rsidRPr="008F0C72" w:rsidRDefault="00395923" w:rsidP="00395923">
            <w:pPr>
              <w:jc w:val="right"/>
            </w:pPr>
            <w:r w:rsidRPr="00A4723C">
              <w:t>2.</w:t>
            </w:r>
            <w:r w:rsidR="00CA1ACD">
              <w:t>19</w:t>
            </w:r>
          </w:p>
        </w:tc>
      </w:tr>
    </w:tbl>
    <w:p w14:paraId="6B566CAD" w14:textId="77777777" w:rsidR="00523426" w:rsidRPr="00CD70A9" w:rsidRDefault="00523426" w:rsidP="00523426">
      <w:pPr>
        <w:pStyle w:val="Heading3"/>
        <w:rPr>
          <w:highlight w:val="yellow"/>
        </w:rPr>
      </w:pPr>
    </w:p>
    <w:p w14:paraId="6D941DBC" w14:textId="77777777" w:rsidR="00523426" w:rsidRPr="008F0C72" w:rsidRDefault="00523426" w:rsidP="00523426">
      <w:pPr>
        <w:pStyle w:val="Heading3"/>
      </w:pPr>
      <w:r w:rsidRPr="008F0C72">
        <w:t>Debt agreements</w:t>
      </w:r>
    </w:p>
    <w:p w14:paraId="66459CEC" w14:textId="77777777" w:rsidR="00523426" w:rsidRPr="008F0C72" w:rsidRDefault="00523426" w:rsidP="00523426">
      <w:pPr>
        <w:pStyle w:val="Heading4"/>
      </w:pPr>
      <w:r w:rsidRPr="008F0C72">
        <w:t>Estimated rate of dividends</w:t>
      </w:r>
    </w:p>
    <w:p w14:paraId="17A1EBAB" w14:textId="237FF01D" w:rsidR="00523426" w:rsidRPr="008F0C72" w:rsidRDefault="00523426" w:rsidP="00523426">
      <w:r w:rsidRPr="008F0C72">
        <w:t>The most common estimated rate of dividend in a debt agreement proposal in 20</w:t>
      </w:r>
      <w:r w:rsidR="008F0C72" w:rsidRPr="008F0C72">
        <w:t>2</w:t>
      </w:r>
      <w:r w:rsidR="006870E6">
        <w:t>2</w:t>
      </w:r>
      <w:r w:rsidRPr="008F0C72">
        <w:t>–2</w:t>
      </w:r>
      <w:r w:rsidR="006870E6">
        <w:t>3</w:t>
      </w:r>
      <w:r w:rsidRPr="008F0C72">
        <w:t xml:space="preserve"> was between 41 and 50 cents per dollar owed, 8</w:t>
      </w:r>
      <w:r w:rsidR="002772EA">
        <w:t>8</w:t>
      </w:r>
      <w:r w:rsidRPr="008F0C72">
        <w:t xml:space="preserve">% of these proposals became debt agreements. </w:t>
      </w:r>
    </w:p>
    <w:tbl>
      <w:tblPr>
        <w:tblStyle w:val="TableGrid"/>
        <w:tblW w:w="0" w:type="auto"/>
        <w:tblLook w:val="04A0" w:firstRow="1" w:lastRow="0" w:firstColumn="1" w:lastColumn="0" w:noHBand="0" w:noVBand="1"/>
      </w:tblPr>
      <w:tblGrid>
        <w:gridCol w:w="2254"/>
        <w:gridCol w:w="2254"/>
        <w:gridCol w:w="2254"/>
        <w:gridCol w:w="2254"/>
      </w:tblGrid>
      <w:tr w:rsidR="00523426" w:rsidRPr="008F0C72" w14:paraId="2D69D1FE" w14:textId="77777777" w:rsidTr="008F0C72">
        <w:tc>
          <w:tcPr>
            <w:tcW w:w="2254" w:type="dxa"/>
          </w:tcPr>
          <w:p w14:paraId="39DAC21C" w14:textId="77777777" w:rsidR="00523426" w:rsidRPr="008F0C72" w:rsidRDefault="00523426" w:rsidP="00ED06FF">
            <w:r w:rsidRPr="008F0C72">
              <w:rPr>
                <w:rFonts w:ascii="Calibri" w:hAnsi="Calibri"/>
                <w:color w:val="000000"/>
              </w:rPr>
              <w:t>Estimated rate of dividend (cents per dollar)</w:t>
            </w:r>
          </w:p>
        </w:tc>
        <w:tc>
          <w:tcPr>
            <w:tcW w:w="2254" w:type="dxa"/>
          </w:tcPr>
          <w:p w14:paraId="18556E7C" w14:textId="77777777" w:rsidR="00523426" w:rsidRPr="008F0C72" w:rsidRDefault="00523426" w:rsidP="00ED06FF">
            <w:r w:rsidRPr="008F0C72">
              <w:rPr>
                <w:rFonts w:ascii="Calibri" w:hAnsi="Calibri"/>
                <w:color w:val="000000"/>
              </w:rPr>
              <w:t>Number of debt agreement proposals accepted by the Official Receiver</w:t>
            </w:r>
          </w:p>
        </w:tc>
        <w:tc>
          <w:tcPr>
            <w:tcW w:w="2254" w:type="dxa"/>
          </w:tcPr>
          <w:p w14:paraId="207C5B5F" w14:textId="77777777" w:rsidR="00523426" w:rsidRPr="008F0C72" w:rsidRDefault="00523426" w:rsidP="00ED06FF">
            <w:r w:rsidRPr="008F0C72">
              <w:rPr>
                <w:rFonts w:ascii="Calibri" w:hAnsi="Calibri"/>
                <w:color w:val="000000"/>
              </w:rPr>
              <w:t>Number of debt agreements made</w:t>
            </w:r>
          </w:p>
        </w:tc>
        <w:tc>
          <w:tcPr>
            <w:tcW w:w="2254" w:type="dxa"/>
          </w:tcPr>
          <w:p w14:paraId="5DCA1A8F" w14:textId="77777777" w:rsidR="00523426" w:rsidRPr="008F0C72" w:rsidRDefault="00523426" w:rsidP="00ED06FF">
            <w:r w:rsidRPr="008F0C72">
              <w:rPr>
                <w:rFonts w:ascii="Calibri" w:hAnsi="Calibri"/>
                <w:color w:val="000000"/>
              </w:rPr>
              <w:t>Proportion of debt agreement proposals that became debt agreements</w:t>
            </w:r>
          </w:p>
        </w:tc>
      </w:tr>
      <w:tr w:rsidR="00800707" w:rsidRPr="008F0C72" w14:paraId="76FFB7CA" w14:textId="77777777" w:rsidTr="008F0C72">
        <w:tc>
          <w:tcPr>
            <w:tcW w:w="2254" w:type="dxa"/>
          </w:tcPr>
          <w:p w14:paraId="4FA9C248" w14:textId="77777777" w:rsidR="00800707" w:rsidRPr="008F0C72" w:rsidRDefault="00800707" w:rsidP="00800707">
            <w:r w:rsidRPr="008F0C72">
              <w:rPr>
                <w:rFonts w:ascii="Calibri" w:hAnsi="Calibri"/>
                <w:color w:val="000000"/>
              </w:rPr>
              <w:t>Less than 31 cents</w:t>
            </w:r>
          </w:p>
        </w:tc>
        <w:tc>
          <w:tcPr>
            <w:tcW w:w="2254" w:type="dxa"/>
          </w:tcPr>
          <w:p w14:paraId="3E8F2929" w14:textId="5690B0EB" w:rsidR="00800707" w:rsidRPr="008F0C72" w:rsidRDefault="00800707" w:rsidP="00800707">
            <w:pPr>
              <w:jc w:val="right"/>
            </w:pPr>
            <w:r w:rsidRPr="00E12A99">
              <w:t>476</w:t>
            </w:r>
          </w:p>
        </w:tc>
        <w:tc>
          <w:tcPr>
            <w:tcW w:w="2254" w:type="dxa"/>
          </w:tcPr>
          <w:p w14:paraId="152ADE0B" w14:textId="3BE834C2" w:rsidR="00800707" w:rsidRPr="008F0C72" w:rsidRDefault="00800707" w:rsidP="00800707">
            <w:pPr>
              <w:jc w:val="right"/>
            </w:pPr>
            <w:r w:rsidRPr="00E12A99">
              <w:t>324</w:t>
            </w:r>
          </w:p>
        </w:tc>
        <w:tc>
          <w:tcPr>
            <w:tcW w:w="2254" w:type="dxa"/>
          </w:tcPr>
          <w:p w14:paraId="2894FECD" w14:textId="752D6F50" w:rsidR="00800707" w:rsidRPr="008F0C72" w:rsidRDefault="00800707" w:rsidP="00800707">
            <w:pPr>
              <w:jc w:val="right"/>
            </w:pPr>
            <w:r w:rsidRPr="00E12A99">
              <w:t>68.1%</w:t>
            </w:r>
          </w:p>
        </w:tc>
      </w:tr>
      <w:tr w:rsidR="00800707" w:rsidRPr="008F0C72" w14:paraId="041489C0" w14:textId="77777777" w:rsidTr="008F0C72">
        <w:tc>
          <w:tcPr>
            <w:tcW w:w="2254" w:type="dxa"/>
          </w:tcPr>
          <w:p w14:paraId="4B3ABEDD" w14:textId="77777777" w:rsidR="00800707" w:rsidRPr="008F0C72" w:rsidRDefault="00800707" w:rsidP="00800707">
            <w:r w:rsidRPr="008F0C72">
              <w:rPr>
                <w:rFonts w:ascii="Calibri" w:hAnsi="Calibri"/>
                <w:color w:val="000000"/>
              </w:rPr>
              <w:t>31–40 cents</w:t>
            </w:r>
          </w:p>
        </w:tc>
        <w:tc>
          <w:tcPr>
            <w:tcW w:w="2254" w:type="dxa"/>
          </w:tcPr>
          <w:p w14:paraId="27B8EF24" w14:textId="0252D551" w:rsidR="00800707" w:rsidRPr="008F0C72" w:rsidRDefault="00800707" w:rsidP="00800707">
            <w:pPr>
              <w:jc w:val="right"/>
            </w:pPr>
            <w:r w:rsidRPr="00E12A99">
              <w:t>1,100</w:t>
            </w:r>
          </w:p>
        </w:tc>
        <w:tc>
          <w:tcPr>
            <w:tcW w:w="2254" w:type="dxa"/>
          </w:tcPr>
          <w:p w14:paraId="7CBAFD29" w14:textId="09B35A0B" w:rsidR="00800707" w:rsidRPr="008F0C72" w:rsidRDefault="00800707" w:rsidP="00800707">
            <w:pPr>
              <w:jc w:val="right"/>
            </w:pPr>
            <w:r w:rsidRPr="00E12A99">
              <w:t>923</w:t>
            </w:r>
          </w:p>
        </w:tc>
        <w:tc>
          <w:tcPr>
            <w:tcW w:w="2254" w:type="dxa"/>
          </w:tcPr>
          <w:p w14:paraId="2C8EF9DE" w14:textId="3CE05D5D" w:rsidR="00800707" w:rsidRPr="008F0C72" w:rsidRDefault="00800707" w:rsidP="00800707">
            <w:pPr>
              <w:jc w:val="right"/>
            </w:pPr>
            <w:r w:rsidRPr="00E12A99">
              <w:t>83.9%</w:t>
            </w:r>
          </w:p>
        </w:tc>
      </w:tr>
      <w:tr w:rsidR="00800707" w:rsidRPr="008F0C72" w14:paraId="78C051E3" w14:textId="77777777" w:rsidTr="008F0C72">
        <w:tc>
          <w:tcPr>
            <w:tcW w:w="2254" w:type="dxa"/>
          </w:tcPr>
          <w:p w14:paraId="22F544E5" w14:textId="77777777" w:rsidR="00800707" w:rsidRPr="008F0C72" w:rsidRDefault="00800707" w:rsidP="00800707">
            <w:r w:rsidRPr="008F0C72">
              <w:rPr>
                <w:rFonts w:ascii="Calibri" w:hAnsi="Calibri"/>
                <w:color w:val="000000"/>
              </w:rPr>
              <w:t>41–50 cents</w:t>
            </w:r>
          </w:p>
        </w:tc>
        <w:tc>
          <w:tcPr>
            <w:tcW w:w="2254" w:type="dxa"/>
          </w:tcPr>
          <w:p w14:paraId="3660DD3C" w14:textId="40FAFC22" w:rsidR="00800707" w:rsidRPr="008F0C72" w:rsidRDefault="00800707" w:rsidP="00800707">
            <w:pPr>
              <w:jc w:val="right"/>
            </w:pPr>
            <w:r w:rsidRPr="00E12A99">
              <w:t>1,749</w:t>
            </w:r>
          </w:p>
        </w:tc>
        <w:tc>
          <w:tcPr>
            <w:tcW w:w="2254" w:type="dxa"/>
          </w:tcPr>
          <w:p w14:paraId="3D140AAF" w14:textId="7113BEC9" w:rsidR="00800707" w:rsidRPr="008F0C72" w:rsidRDefault="00800707" w:rsidP="00800707">
            <w:pPr>
              <w:jc w:val="right"/>
            </w:pPr>
            <w:r w:rsidRPr="00E12A99">
              <w:t>1,531</w:t>
            </w:r>
          </w:p>
        </w:tc>
        <w:tc>
          <w:tcPr>
            <w:tcW w:w="2254" w:type="dxa"/>
          </w:tcPr>
          <w:p w14:paraId="44EAA4C7" w14:textId="7EE344A8" w:rsidR="00800707" w:rsidRPr="008F0C72" w:rsidRDefault="00800707" w:rsidP="00800707">
            <w:pPr>
              <w:jc w:val="right"/>
            </w:pPr>
            <w:r w:rsidRPr="00E12A99">
              <w:t>87.5%</w:t>
            </w:r>
          </w:p>
        </w:tc>
      </w:tr>
      <w:tr w:rsidR="00800707" w:rsidRPr="008F0C72" w14:paraId="19848D83" w14:textId="77777777" w:rsidTr="008F0C72">
        <w:tc>
          <w:tcPr>
            <w:tcW w:w="2254" w:type="dxa"/>
          </w:tcPr>
          <w:p w14:paraId="05126B61" w14:textId="77777777" w:rsidR="00800707" w:rsidRPr="008F0C72" w:rsidRDefault="00800707" w:rsidP="00800707">
            <w:r w:rsidRPr="008F0C72">
              <w:rPr>
                <w:rFonts w:ascii="Calibri" w:hAnsi="Calibri"/>
                <w:color w:val="000000"/>
              </w:rPr>
              <w:t>51–60 cents</w:t>
            </w:r>
          </w:p>
        </w:tc>
        <w:tc>
          <w:tcPr>
            <w:tcW w:w="2254" w:type="dxa"/>
          </w:tcPr>
          <w:p w14:paraId="2EAE09BC" w14:textId="4780358B" w:rsidR="00800707" w:rsidRPr="008F0C72" w:rsidRDefault="00800707" w:rsidP="00800707">
            <w:pPr>
              <w:jc w:val="right"/>
            </w:pPr>
            <w:r w:rsidRPr="00E12A99">
              <w:t>662</w:t>
            </w:r>
          </w:p>
        </w:tc>
        <w:tc>
          <w:tcPr>
            <w:tcW w:w="2254" w:type="dxa"/>
          </w:tcPr>
          <w:p w14:paraId="65B82C30" w14:textId="4A9B976F" w:rsidR="00800707" w:rsidRPr="008F0C72" w:rsidRDefault="00800707" w:rsidP="00800707">
            <w:pPr>
              <w:jc w:val="right"/>
            </w:pPr>
            <w:r w:rsidRPr="00E12A99">
              <w:t>585</w:t>
            </w:r>
          </w:p>
        </w:tc>
        <w:tc>
          <w:tcPr>
            <w:tcW w:w="2254" w:type="dxa"/>
          </w:tcPr>
          <w:p w14:paraId="658424CC" w14:textId="70237FF2" w:rsidR="00800707" w:rsidRPr="008F0C72" w:rsidRDefault="00800707" w:rsidP="00800707">
            <w:pPr>
              <w:jc w:val="right"/>
            </w:pPr>
            <w:r w:rsidRPr="00E12A99">
              <w:t>88.4%</w:t>
            </w:r>
          </w:p>
        </w:tc>
      </w:tr>
      <w:tr w:rsidR="00800707" w:rsidRPr="008F0C72" w14:paraId="25742B0A" w14:textId="77777777" w:rsidTr="008F0C72">
        <w:tc>
          <w:tcPr>
            <w:tcW w:w="2254" w:type="dxa"/>
          </w:tcPr>
          <w:p w14:paraId="0D35A78B" w14:textId="77777777" w:rsidR="00800707" w:rsidRPr="008F0C72" w:rsidRDefault="00800707" w:rsidP="00800707">
            <w:r w:rsidRPr="008F0C72">
              <w:rPr>
                <w:rFonts w:ascii="Calibri" w:hAnsi="Calibri"/>
                <w:color w:val="000000"/>
              </w:rPr>
              <w:t>61–70 cents</w:t>
            </w:r>
          </w:p>
        </w:tc>
        <w:tc>
          <w:tcPr>
            <w:tcW w:w="2254" w:type="dxa"/>
          </w:tcPr>
          <w:p w14:paraId="5E6947E0" w14:textId="4BAB52EC" w:rsidR="00800707" w:rsidRPr="008F0C72" w:rsidRDefault="00800707" w:rsidP="00800707">
            <w:pPr>
              <w:jc w:val="right"/>
            </w:pPr>
            <w:r w:rsidRPr="00E12A99">
              <w:t>474</w:t>
            </w:r>
          </w:p>
        </w:tc>
        <w:tc>
          <w:tcPr>
            <w:tcW w:w="2254" w:type="dxa"/>
          </w:tcPr>
          <w:p w14:paraId="07F7480D" w14:textId="39C6B494" w:rsidR="00800707" w:rsidRPr="008F0C72" w:rsidRDefault="00800707" w:rsidP="00800707">
            <w:pPr>
              <w:jc w:val="right"/>
            </w:pPr>
            <w:r w:rsidRPr="00E12A99">
              <w:t>427</w:t>
            </w:r>
          </w:p>
        </w:tc>
        <w:tc>
          <w:tcPr>
            <w:tcW w:w="2254" w:type="dxa"/>
          </w:tcPr>
          <w:p w14:paraId="3493CEE0" w14:textId="06C33FFE" w:rsidR="00800707" w:rsidRPr="008F0C72" w:rsidRDefault="00800707" w:rsidP="00800707">
            <w:pPr>
              <w:jc w:val="right"/>
            </w:pPr>
            <w:r w:rsidRPr="00E12A99">
              <w:t>90.1%</w:t>
            </w:r>
          </w:p>
        </w:tc>
      </w:tr>
      <w:tr w:rsidR="00800707" w:rsidRPr="008F0C72" w14:paraId="6C4BC681" w14:textId="77777777" w:rsidTr="008F0C72">
        <w:tc>
          <w:tcPr>
            <w:tcW w:w="2254" w:type="dxa"/>
          </w:tcPr>
          <w:p w14:paraId="74A3D2EE" w14:textId="77777777" w:rsidR="00800707" w:rsidRPr="008F0C72" w:rsidRDefault="00800707" w:rsidP="00800707">
            <w:r w:rsidRPr="008F0C72">
              <w:rPr>
                <w:rFonts w:ascii="Calibri" w:hAnsi="Calibri"/>
                <w:color w:val="000000"/>
              </w:rPr>
              <w:t>71–80 cents</w:t>
            </w:r>
          </w:p>
        </w:tc>
        <w:tc>
          <w:tcPr>
            <w:tcW w:w="2254" w:type="dxa"/>
          </w:tcPr>
          <w:p w14:paraId="4BDFEC6C" w14:textId="7A8A0EDC" w:rsidR="00800707" w:rsidRPr="008F0C72" w:rsidRDefault="00800707" w:rsidP="00800707">
            <w:pPr>
              <w:jc w:val="right"/>
            </w:pPr>
            <w:r w:rsidRPr="00E12A99">
              <w:t>131</w:t>
            </w:r>
          </w:p>
        </w:tc>
        <w:tc>
          <w:tcPr>
            <w:tcW w:w="2254" w:type="dxa"/>
          </w:tcPr>
          <w:p w14:paraId="687DBDBA" w14:textId="61559E8C" w:rsidR="00800707" w:rsidRPr="008F0C72" w:rsidRDefault="00800707" w:rsidP="00800707">
            <w:pPr>
              <w:jc w:val="right"/>
            </w:pPr>
            <w:r w:rsidRPr="00E12A99">
              <w:t>125</w:t>
            </w:r>
          </w:p>
        </w:tc>
        <w:tc>
          <w:tcPr>
            <w:tcW w:w="2254" w:type="dxa"/>
          </w:tcPr>
          <w:p w14:paraId="3AE48840" w14:textId="01B44097" w:rsidR="00800707" w:rsidRPr="008F0C72" w:rsidRDefault="00800707" w:rsidP="00800707">
            <w:pPr>
              <w:jc w:val="right"/>
            </w:pPr>
            <w:r w:rsidRPr="00E12A99">
              <w:t>95.4%</w:t>
            </w:r>
          </w:p>
        </w:tc>
      </w:tr>
      <w:tr w:rsidR="00800707" w:rsidRPr="008F0C72" w14:paraId="1B3062A6" w14:textId="77777777" w:rsidTr="008F0C72">
        <w:tc>
          <w:tcPr>
            <w:tcW w:w="2254" w:type="dxa"/>
          </w:tcPr>
          <w:p w14:paraId="320B391A" w14:textId="77777777" w:rsidR="00800707" w:rsidRPr="008F0C72" w:rsidRDefault="00800707" w:rsidP="00800707">
            <w:r w:rsidRPr="008F0C72">
              <w:rPr>
                <w:rFonts w:ascii="Calibri" w:hAnsi="Calibri"/>
                <w:color w:val="000000"/>
              </w:rPr>
              <w:t>81 cents or more</w:t>
            </w:r>
          </w:p>
        </w:tc>
        <w:tc>
          <w:tcPr>
            <w:tcW w:w="2254" w:type="dxa"/>
          </w:tcPr>
          <w:p w14:paraId="739A6632" w14:textId="5CFCCBC5" w:rsidR="00800707" w:rsidRPr="008F0C72" w:rsidRDefault="00800707" w:rsidP="00800707">
            <w:pPr>
              <w:jc w:val="right"/>
            </w:pPr>
            <w:r w:rsidRPr="00E12A99">
              <w:t>29</w:t>
            </w:r>
          </w:p>
        </w:tc>
        <w:tc>
          <w:tcPr>
            <w:tcW w:w="2254" w:type="dxa"/>
          </w:tcPr>
          <w:p w14:paraId="054F7E82" w14:textId="6008EA04" w:rsidR="00800707" w:rsidRPr="008F0C72" w:rsidRDefault="00800707" w:rsidP="00800707">
            <w:pPr>
              <w:jc w:val="right"/>
            </w:pPr>
            <w:r w:rsidRPr="00E12A99">
              <w:t>27</w:t>
            </w:r>
          </w:p>
        </w:tc>
        <w:tc>
          <w:tcPr>
            <w:tcW w:w="2254" w:type="dxa"/>
          </w:tcPr>
          <w:p w14:paraId="55B4FBE5" w14:textId="02FEEB32" w:rsidR="00800707" w:rsidRPr="008F0C72" w:rsidRDefault="00800707" w:rsidP="00800707">
            <w:pPr>
              <w:jc w:val="right"/>
            </w:pPr>
            <w:r w:rsidRPr="00E12A99">
              <w:t>93.1%</w:t>
            </w:r>
          </w:p>
        </w:tc>
      </w:tr>
      <w:tr w:rsidR="00800707" w:rsidRPr="008F0C72" w14:paraId="4A9D3CA7" w14:textId="77777777" w:rsidTr="008F0C72">
        <w:tc>
          <w:tcPr>
            <w:tcW w:w="2254" w:type="dxa"/>
          </w:tcPr>
          <w:p w14:paraId="2A4547B5" w14:textId="77777777" w:rsidR="00800707" w:rsidRPr="008F0C72" w:rsidRDefault="00800707" w:rsidP="00800707">
            <w:r w:rsidRPr="008F0C72">
              <w:rPr>
                <w:rFonts w:ascii="Calibri" w:hAnsi="Calibri"/>
                <w:color w:val="000000"/>
              </w:rPr>
              <w:t>Total</w:t>
            </w:r>
          </w:p>
        </w:tc>
        <w:tc>
          <w:tcPr>
            <w:tcW w:w="2254" w:type="dxa"/>
          </w:tcPr>
          <w:p w14:paraId="3EDCB695" w14:textId="506A17A7" w:rsidR="00800707" w:rsidRPr="008F0C72" w:rsidRDefault="00800707" w:rsidP="00800707">
            <w:pPr>
              <w:jc w:val="right"/>
            </w:pPr>
            <w:r w:rsidRPr="00E12A99">
              <w:t>4,621</w:t>
            </w:r>
          </w:p>
        </w:tc>
        <w:tc>
          <w:tcPr>
            <w:tcW w:w="2254" w:type="dxa"/>
          </w:tcPr>
          <w:p w14:paraId="34554513" w14:textId="3757F527" w:rsidR="00800707" w:rsidRPr="008F0C72" w:rsidRDefault="00800707" w:rsidP="00800707">
            <w:pPr>
              <w:jc w:val="right"/>
            </w:pPr>
            <w:r w:rsidRPr="00E12A99">
              <w:t>3,942</w:t>
            </w:r>
          </w:p>
        </w:tc>
        <w:tc>
          <w:tcPr>
            <w:tcW w:w="2254" w:type="dxa"/>
          </w:tcPr>
          <w:p w14:paraId="4647C6AA" w14:textId="664E043C" w:rsidR="00800707" w:rsidRPr="008F0C72" w:rsidRDefault="00800707" w:rsidP="00800707">
            <w:pPr>
              <w:jc w:val="right"/>
            </w:pPr>
            <w:r w:rsidRPr="00E12A99">
              <w:t>85.3%</w:t>
            </w:r>
          </w:p>
        </w:tc>
      </w:tr>
    </w:tbl>
    <w:p w14:paraId="0D2CA4CB" w14:textId="77777777" w:rsidR="00523426" w:rsidRPr="008F0C72" w:rsidRDefault="00523426" w:rsidP="00523426">
      <w:pPr>
        <w:rPr>
          <w:highlight w:val="yellow"/>
        </w:rPr>
      </w:pPr>
    </w:p>
    <w:p w14:paraId="04BAB639" w14:textId="77777777" w:rsidR="00523426" w:rsidRPr="008F0C72" w:rsidRDefault="00523426" w:rsidP="00523426">
      <w:pPr>
        <w:pStyle w:val="Heading4"/>
      </w:pPr>
      <w:r w:rsidRPr="008F0C72">
        <w:t>Dividends paid in completed debt agreements</w:t>
      </w:r>
    </w:p>
    <w:p w14:paraId="09ED5E36" w14:textId="480FF950" w:rsidR="00523426" w:rsidRPr="008F0C72" w:rsidRDefault="00523426" w:rsidP="00523426">
      <w:r w:rsidRPr="008F0C72">
        <w:t>Creditors received an average of 5</w:t>
      </w:r>
      <w:r w:rsidR="00FF3466">
        <w:t>1</w:t>
      </w:r>
      <w:r w:rsidR="008F0C72" w:rsidRPr="008F0C72">
        <w:t>.</w:t>
      </w:r>
      <w:r w:rsidR="00FF3466">
        <w:t>7</w:t>
      </w:r>
      <w:r w:rsidR="00F076F8">
        <w:t>4</w:t>
      </w:r>
      <w:r w:rsidRPr="008F0C72">
        <w:t xml:space="preserve"> cents per dollar owed in debt agreements completed in 20</w:t>
      </w:r>
      <w:r w:rsidR="008F0C72" w:rsidRPr="008F0C72">
        <w:t>2</w:t>
      </w:r>
      <w:r w:rsidR="00FF3466">
        <w:t>2</w:t>
      </w:r>
      <w:r w:rsidRPr="008F0C72">
        <w:t>–</w:t>
      </w:r>
      <w:r w:rsidR="008F0C72" w:rsidRPr="008F0C72">
        <w:t>2</w:t>
      </w:r>
      <w:r w:rsidR="00FF3466">
        <w:t>3</w:t>
      </w:r>
      <w:r w:rsidRPr="008F0C72">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523426" w:rsidRPr="008F0C72" w14:paraId="52883CD2" w14:textId="77777777" w:rsidTr="008F0C72">
        <w:tc>
          <w:tcPr>
            <w:tcW w:w="1803" w:type="dxa"/>
          </w:tcPr>
          <w:p w14:paraId="7243E540" w14:textId="77777777" w:rsidR="00523426" w:rsidRPr="008F0C72" w:rsidRDefault="00523426" w:rsidP="00ED06FF">
            <w:r w:rsidRPr="008F0C72">
              <w:rPr>
                <w:rFonts w:ascii="Calibri" w:hAnsi="Calibri"/>
                <w:color w:val="000000"/>
              </w:rPr>
              <w:t>State or territory</w:t>
            </w:r>
          </w:p>
        </w:tc>
        <w:tc>
          <w:tcPr>
            <w:tcW w:w="1803" w:type="dxa"/>
          </w:tcPr>
          <w:p w14:paraId="31BECBD3" w14:textId="77777777" w:rsidR="00523426" w:rsidRPr="008F0C72" w:rsidRDefault="00523426" w:rsidP="00ED06FF">
            <w:r w:rsidRPr="008F0C72">
              <w:rPr>
                <w:rFonts w:ascii="Calibri" w:hAnsi="Calibri"/>
                <w:color w:val="000000"/>
              </w:rPr>
              <w:t>Number of debt agreements finalised</w:t>
            </w:r>
          </w:p>
        </w:tc>
        <w:tc>
          <w:tcPr>
            <w:tcW w:w="1803" w:type="dxa"/>
          </w:tcPr>
          <w:p w14:paraId="7F9E35FD" w14:textId="77777777" w:rsidR="00523426" w:rsidRPr="008F0C72" w:rsidRDefault="00523426" w:rsidP="00ED06FF">
            <w:r w:rsidRPr="008F0C72">
              <w:rPr>
                <w:rFonts w:ascii="Calibri" w:hAnsi="Calibri"/>
                <w:color w:val="000000"/>
              </w:rPr>
              <w:t>Value of creditor claims ($)</w:t>
            </w:r>
          </w:p>
        </w:tc>
        <w:tc>
          <w:tcPr>
            <w:tcW w:w="1803" w:type="dxa"/>
          </w:tcPr>
          <w:p w14:paraId="738A3107" w14:textId="77777777" w:rsidR="00523426" w:rsidRPr="008F0C72" w:rsidRDefault="00523426" w:rsidP="00ED06FF">
            <w:r w:rsidRPr="008F0C72">
              <w:rPr>
                <w:rFonts w:ascii="Calibri" w:hAnsi="Calibri"/>
                <w:color w:val="000000"/>
              </w:rPr>
              <w:t>Value of dividends paid ($)</w:t>
            </w:r>
          </w:p>
        </w:tc>
        <w:tc>
          <w:tcPr>
            <w:tcW w:w="1804" w:type="dxa"/>
          </w:tcPr>
          <w:p w14:paraId="1787DF25" w14:textId="77777777" w:rsidR="00523426" w:rsidRPr="008F0C72" w:rsidRDefault="00523426" w:rsidP="00ED06FF">
            <w:r w:rsidRPr="008F0C72">
              <w:rPr>
                <w:rFonts w:ascii="Calibri" w:hAnsi="Calibri"/>
                <w:color w:val="000000"/>
              </w:rPr>
              <w:t>Rate of return (cents per dollar)</w:t>
            </w:r>
          </w:p>
        </w:tc>
      </w:tr>
      <w:tr w:rsidR="00F83453" w:rsidRPr="008F0C72" w14:paraId="42445DB1" w14:textId="77777777" w:rsidTr="007F460A">
        <w:tc>
          <w:tcPr>
            <w:tcW w:w="1803" w:type="dxa"/>
          </w:tcPr>
          <w:p w14:paraId="4F922ED6" w14:textId="77777777" w:rsidR="00F83453" w:rsidRPr="008F0C72" w:rsidRDefault="00F83453" w:rsidP="00F83453">
            <w:r w:rsidRPr="008F0C72">
              <w:rPr>
                <w:rFonts w:ascii="Calibri" w:hAnsi="Calibri"/>
                <w:color w:val="000000"/>
              </w:rPr>
              <w:t>NSW</w:t>
            </w:r>
          </w:p>
        </w:tc>
        <w:tc>
          <w:tcPr>
            <w:tcW w:w="1803" w:type="dxa"/>
            <w:vAlign w:val="bottom"/>
          </w:tcPr>
          <w:p w14:paraId="361BACD2" w14:textId="6D5BD4A7" w:rsidR="00F83453" w:rsidRPr="008F0C72" w:rsidRDefault="00F83453" w:rsidP="00F83453">
            <w:pPr>
              <w:jc w:val="right"/>
            </w:pPr>
            <w:r>
              <w:rPr>
                <w:rFonts w:ascii="Calibri" w:hAnsi="Calibri" w:cs="Calibri"/>
                <w:color w:val="000000"/>
              </w:rPr>
              <w:t>3,832</w:t>
            </w:r>
          </w:p>
        </w:tc>
        <w:tc>
          <w:tcPr>
            <w:tcW w:w="1803" w:type="dxa"/>
            <w:vAlign w:val="bottom"/>
          </w:tcPr>
          <w:p w14:paraId="5EC1CF66" w14:textId="6CB755D9" w:rsidR="00F83453" w:rsidRPr="008F0C72" w:rsidRDefault="00F83453" w:rsidP="00F83453">
            <w:pPr>
              <w:jc w:val="right"/>
            </w:pPr>
            <w:r>
              <w:rPr>
                <w:rFonts w:ascii="Calibri" w:hAnsi="Calibri" w:cs="Calibri"/>
                <w:color w:val="000000"/>
              </w:rPr>
              <w:t>$139,488,717</w:t>
            </w:r>
          </w:p>
        </w:tc>
        <w:tc>
          <w:tcPr>
            <w:tcW w:w="1803" w:type="dxa"/>
            <w:vAlign w:val="bottom"/>
          </w:tcPr>
          <w:p w14:paraId="4C3E7776" w14:textId="5CA67D69" w:rsidR="00F83453" w:rsidRPr="008F0C72" w:rsidRDefault="00F83453" w:rsidP="00F83453">
            <w:pPr>
              <w:jc w:val="right"/>
            </w:pPr>
            <w:r>
              <w:rPr>
                <w:rFonts w:ascii="Calibri" w:hAnsi="Calibri" w:cs="Calibri"/>
                <w:color w:val="000000"/>
              </w:rPr>
              <w:t>$71,547,171</w:t>
            </w:r>
          </w:p>
        </w:tc>
        <w:tc>
          <w:tcPr>
            <w:tcW w:w="1804" w:type="dxa"/>
            <w:vAlign w:val="bottom"/>
          </w:tcPr>
          <w:p w14:paraId="1379C9EE" w14:textId="236E04C6" w:rsidR="00F83453" w:rsidRPr="008F0C72" w:rsidRDefault="00F83453" w:rsidP="00F83453">
            <w:pPr>
              <w:jc w:val="right"/>
            </w:pPr>
            <w:r>
              <w:rPr>
                <w:rFonts w:ascii="Calibri" w:hAnsi="Calibri" w:cs="Calibri"/>
                <w:color w:val="000000"/>
              </w:rPr>
              <w:t>51.29</w:t>
            </w:r>
          </w:p>
        </w:tc>
      </w:tr>
      <w:tr w:rsidR="00F83453" w:rsidRPr="008F0C72" w14:paraId="33EA06BE" w14:textId="77777777" w:rsidTr="007F460A">
        <w:tc>
          <w:tcPr>
            <w:tcW w:w="1803" w:type="dxa"/>
          </w:tcPr>
          <w:p w14:paraId="53CB2BE9" w14:textId="77777777" w:rsidR="00F83453" w:rsidRPr="008F0C72" w:rsidRDefault="00F83453" w:rsidP="00F83453">
            <w:r w:rsidRPr="008F0C72">
              <w:rPr>
                <w:rFonts w:ascii="Calibri" w:hAnsi="Calibri"/>
                <w:color w:val="000000"/>
              </w:rPr>
              <w:t>ACT</w:t>
            </w:r>
          </w:p>
        </w:tc>
        <w:tc>
          <w:tcPr>
            <w:tcW w:w="1803" w:type="dxa"/>
            <w:vAlign w:val="bottom"/>
          </w:tcPr>
          <w:p w14:paraId="346076F7" w14:textId="4E56DBC2" w:rsidR="00F83453" w:rsidRPr="008F0C72" w:rsidRDefault="00F83453" w:rsidP="00F83453">
            <w:pPr>
              <w:jc w:val="right"/>
            </w:pPr>
            <w:r>
              <w:rPr>
                <w:rFonts w:ascii="Calibri" w:hAnsi="Calibri" w:cs="Calibri"/>
                <w:color w:val="000000"/>
              </w:rPr>
              <w:t>175</w:t>
            </w:r>
          </w:p>
        </w:tc>
        <w:tc>
          <w:tcPr>
            <w:tcW w:w="1803" w:type="dxa"/>
            <w:vAlign w:val="bottom"/>
          </w:tcPr>
          <w:p w14:paraId="73C0BC17" w14:textId="388A6C1E" w:rsidR="00F83453" w:rsidRPr="008F0C72" w:rsidRDefault="00F83453" w:rsidP="00F83453">
            <w:pPr>
              <w:jc w:val="right"/>
            </w:pPr>
            <w:r>
              <w:rPr>
                <w:rFonts w:ascii="Calibri" w:hAnsi="Calibri" w:cs="Calibri"/>
                <w:color w:val="000000"/>
              </w:rPr>
              <w:t>$6,916,581</w:t>
            </w:r>
          </w:p>
        </w:tc>
        <w:tc>
          <w:tcPr>
            <w:tcW w:w="1803" w:type="dxa"/>
            <w:vAlign w:val="bottom"/>
          </w:tcPr>
          <w:p w14:paraId="43FCC0CE" w14:textId="2BEB7F9D" w:rsidR="00F83453" w:rsidRPr="008F0C72" w:rsidRDefault="00F83453" w:rsidP="00F83453">
            <w:pPr>
              <w:jc w:val="right"/>
            </w:pPr>
            <w:r>
              <w:rPr>
                <w:rFonts w:ascii="Calibri" w:hAnsi="Calibri" w:cs="Calibri"/>
                <w:color w:val="000000"/>
              </w:rPr>
              <w:t>$3,693,040</w:t>
            </w:r>
          </w:p>
        </w:tc>
        <w:tc>
          <w:tcPr>
            <w:tcW w:w="1804" w:type="dxa"/>
            <w:vAlign w:val="bottom"/>
          </w:tcPr>
          <w:p w14:paraId="527D81D1" w14:textId="736C66CA" w:rsidR="00F83453" w:rsidRPr="008F0C72" w:rsidRDefault="00F83453" w:rsidP="00F83453">
            <w:pPr>
              <w:jc w:val="right"/>
            </w:pPr>
            <w:r>
              <w:rPr>
                <w:rFonts w:ascii="Calibri" w:hAnsi="Calibri" w:cs="Calibri"/>
                <w:color w:val="000000"/>
              </w:rPr>
              <w:t>53.39</w:t>
            </w:r>
          </w:p>
        </w:tc>
      </w:tr>
      <w:tr w:rsidR="00F83453" w:rsidRPr="008F0C72" w14:paraId="2770DF38" w14:textId="77777777" w:rsidTr="007F460A">
        <w:tc>
          <w:tcPr>
            <w:tcW w:w="1803" w:type="dxa"/>
          </w:tcPr>
          <w:p w14:paraId="34117C5E" w14:textId="77777777" w:rsidR="00F83453" w:rsidRPr="008F0C72" w:rsidRDefault="00F83453" w:rsidP="00F83453">
            <w:r w:rsidRPr="008F0C72">
              <w:rPr>
                <w:rFonts w:ascii="Calibri" w:hAnsi="Calibri"/>
                <w:color w:val="000000"/>
              </w:rPr>
              <w:lastRenderedPageBreak/>
              <w:t>Vic</w:t>
            </w:r>
          </w:p>
        </w:tc>
        <w:tc>
          <w:tcPr>
            <w:tcW w:w="1803" w:type="dxa"/>
            <w:vAlign w:val="bottom"/>
          </w:tcPr>
          <w:p w14:paraId="1DDCF7B8" w14:textId="286968E5" w:rsidR="00F83453" w:rsidRPr="008F0C72" w:rsidRDefault="00F83453" w:rsidP="00F83453">
            <w:pPr>
              <w:jc w:val="right"/>
            </w:pPr>
            <w:r>
              <w:rPr>
                <w:rFonts w:ascii="Calibri" w:hAnsi="Calibri" w:cs="Calibri"/>
                <w:color w:val="000000"/>
              </w:rPr>
              <w:t>2,280</w:t>
            </w:r>
          </w:p>
        </w:tc>
        <w:tc>
          <w:tcPr>
            <w:tcW w:w="1803" w:type="dxa"/>
            <w:vAlign w:val="bottom"/>
          </w:tcPr>
          <w:p w14:paraId="411811F4" w14:textId="1DAD87A5" w:rsidR="00F83453" w:rsidRPr="008F0C72" w:rsidRDefault="00F83453" w:rsidP="00F83453">
            <w:pPr>
              <w:jc w:val="right"/>
            </w:pPr>
            <w:r>
              <w:rPr>
                <w:rFonts w:ascii="Calibri" w:hAnsi="Calibri" w:cs="Calibri"/>
                <w:color w:val="000000"/>
              </w:rPr>
              <w:t>$84,915,738</w:t>
            </w:r>
          </w:p>
        </w:tc>
        <w:tc>
          <w:tcPr>
            <w:tcW w:w="1803" w:type="dxa"/>
            <w:vAlign w:val="bottom"/>
          </w:tcPr>
          <w:p w14:paraId="53759BC0" w14:textId="2A881EA1" w:rsidR="00F83453" w:rsidRPr="008F0C72" w:rsidRDefault="00F83453" w:rsidP="00F83453">
            <w:pPr>
              <w:jc w:val="right"/>
            </w:pPr>
            <w:r>
              <w:rPr>
                <w:rFonts w:ascii="Calibri" w:hAnsi="Calibri" w:cs="Calibri"/>
                <w:color w:val="000000"/>
              </w:rPr>
              <w:t>$43,662,753</w:t>
            </w:r>
          </w:p>
        </w:tc>
        <w:tc>
          <w:tcPr>
            <w:tcW w:w="1804" w:type="dxa"/>
            <w:vAlign w:val="bottom"/>
          </w:tcPr>
          <w:p w14:paraId="61E4F3FB" w14:textId="36796CEB" w:rsidR="00F83453" w:rsidRPr="008F0C72" w:rsidRDefault="00F83453" w:rsidP="00F83453">
            <w:pPr>
              <w:jc w:val="right"/>
            </w:pPr>
            <w:r>
              <w:rPr>
                <w:rFonts w:ascii="Calibri" w:hAnsi="Calibri" w:cs="Calibri"/>
                <w:color w:val="000000"/>
              </w:rPr>
              <w:t>51.42</w:t>
            </w:r>
          </w:p>
        </w:tc>
      </w:tr>
      <w:tr w:rsidR="00F83453" w:rsidRPr="008F0C72" w14:paraId="1E40FB55" w14:textId="77777777" w:rsidTr="007F460A">
        <w:tc>
          <w:tcPr>
            <w:tcW w:w="1803" w:type="dxa"/>
          </w:tcPr>
          <w:p w14:paraId="30302490" w14:textId="77777777" w:rsidR="00F83453" w:rsidRPr="008F0C72" w:rsidRDefault="00F83453" w:rsidP="00F83453">
            <w:r w:rsidRPr="008F0C72">
              <w:rPr>
                <w:rFonts w:ascii="Calibri" w:hAnsi="Calibri"/>
                <w:color w:val="000000"/>
              </w:rPr>
              <w:t>Qld</w:t>
            </w:r>
          </w:p>
        </w:tc>
        <w:tc>
          <w:tcPr>
            <w:tcW w:w="1803" w:type="dxa"/>
            <w:vAlign w:val="bottom"/>
          </w:tcPr>
          <w:p w14:paraId="41F76B26" w14:textId="193D43A8" w:rsidR="00F83453" w:rsidRPr="008F0C72" w:rsidRDefault="00F83453" w:rsidP="00F83453">
            <w:pPr>
              <w:jc w:val="right"/>
            </w:pPr>
            <w:r>
              <w:rPr>
                <w:rFonts w:ascii="Calibri" w:hAnsi="Calibri" w:cs="Calibri"/>
                <w:color w:val="000000"/>
              </w:rPr>
              <w:t>3,702</w:t>
            </w:r>
          </w:p>
        </w:tc>
        <w:tc>
          <w:tcPr>
            <w:tcW w:w="1803" w:type="dxa"/>
            <w:vAlign w:val="bottom"/>
          </w:tcPr>
          <w:p w14:paraId="4BD66B8B" w14:textId="23BE1958" w:rsidR="00F83453" w:rsidRPr="008F0C72" w:rsidRDefault="00F83453" w:rsidP="00F83453">
            <w:pPr>
              <w:jc w:val="right"/>
            </w:pPr>
            <w:r>
              <w:rPr>
                <w:rFonts w:ascii="Calibri" w:hAnsi="Calibri" w:cs="Calibri"/>
                <w:color w:val="000000"/>
              </w:rPr>
              <w:t>$131,297,873</w:t>
            </w:r>
          </w:p>
        </w:tc>
        <w:tc>
          <w:tcPr>
            <w:tcW w:w="1803" w:type="dxa"/>
            <w:vAlign w:val="bottom"/>
          </w:tcPr>
          <w:p w14:paraId="7BE88C0F" w14:textId="5CBFAA22" w:rsidR="00F83453" w:rsidRPr="008F0C72" w:rsidRDefault="00F83453" w:rsidP="00F83453">
            <w:pPr>
              <w:jc w:val="right"/>
            </w:pPr>
            <w:r>
              <w:rPr>
                <w:rFonts w:ascii="Calibri" w:hAnsi="Calibri" w:cs="Calibri"/>
                <w:color w:val="000000"/>
              </w:rPr>
              <w:t>$68,920,650</w:t>
            </w:r>
          </w:p>
        </w:tc>
        <w:tc>
          <w:tcPr>
            <w:tcW w:w="1804" w:type="dxa"/>
            <w:vAlign w:val="bottom"/>
          </w:tcPr>
          <w:p w14:paraId="2352101D" w14:textId="46E1E6AD" w:rsidR="00F83453" w:rsidRPr="008F0C72" w:rsidRDefault="00F83453" w:rsidP="00F83453">
            <w:pPr>
              <w:jc w:val="right"/>
            </w:pPr>
            <w:r>
              <w:rPr>
                <w:rFonts w:ascii="Calibri" w:hAnsi="Calibri" w:cs="Calibri"/>
                <w:color w:val="000000"/>
              </w:rPr>
              <w:t>52.49</w:t>
            </w:r>
          </w:p>
        </w:tc>
      </w:tr>
      <w:tr w:rsidR="00F83453" w:rsidRPr="008F0C72" w14:paraId="7C5E94F8" w14:textId="77777777" w:rsidTr="007F460A">
        <w:tc>
          <w:tcPr>
            <w:tcW w:w="1803" w:type="dxa"/>
          </w:tcPr>
          <w:p w14:paraId="3DF6BAB4" w14:textId="77777777" w:rsidR="00F83453" w:rsidRPr="008F0C72" w:rsidRDefault="00F83453" w:rsidP="00F83453">
            <w:r w:rsidRPr="008F0C72">
              <w:rPr>
                <w:rFonts w:ascii="Calibri" w:hAnsi="Calibri"/>
                <w:color w:val="000000"/>
              </w:rPr>
              <w:t>SA</w:t>
            </w:r>
          </w:p>
        </w:tc>
        <w:tc>
          <w:tcPr>
            <w:tcW w:w="1803" w:type="dxa"/>
            <w:vAlign w:val="bottom"/>
          </w:tcPr>
          <w:p w14:paraId="3D656887" w14:textId="406E0563" w:rsidR="00F83453" w:rsidRPr="008F0C72" w:rsidRDefault="00F83453" w:rsidP="00F83453">
            <w:pPr>
              <w:jc w:val="right"/>
            </w:pPr>
            <w:r>
              <w:rPr>
                <w:rFonts w:ascii="Calibri" w:hAnsi="Calibri" w:cs="Calibri"/>
                <w:color w:val="000000"/>
              </w:rPr>
              <w:t>588</w:t>
            </w:r>
          </w:p>
        </w:tc>
        <w:tc>
          <w:tcPr>
            <w:tcW w:w="1803" w:type="dxa"/>
            <w:vAlign w:val="bottom"/>
          </w:tcPr>
          <w:p w14:paraId="7667D469" w14:textId="1BD12A4D" w:rsidR="00F83453" w:rsidRPr="008F0C72" w:rsidRDefault="00F83453" w:rsidP="00F83453">
            <w:pPr>
              <w:jc w:val="right"/>
            </w:pPr>
            <w:r>
              <w:rPr>
                <w:rFonts w:ascii="Calibri" w:hAnsi="Calibri" w:cs="Calibri"/>
                <w:color w:val="000000"/>
              </w:rPr>
              <w:t>$21,526,988</w:t>
            </w:r>
          </w:p>
        </w:tc>
        <w:tc>
          <w:tcPr>
            <w:tcW w:w="1803" w:type="dxa"/>
            <w:vAlign w:val="bottom"/>
          </w:tcPr>
          <w:p w14:paraId="084CCA64" w14:textId="29FEB95C" w:rsidR="00F83453" w:rsidRPr="008F0C72" w:rsidRDefault="00F83453" w:rsidP="00F83453">
            <w:pPr>
              <w:jc w:val="right"/>
            </w:pPr>
            <w:r>
              <w:rPr>
                <w:rFonts w:ascii="Calibri" w:hAnsi="Calibri" w:cs="Calibri"/>
                <w:color w:val="000000"/>
              </w:rPr>
              <w:t>$11,063,417</w:t>
            </w:r>
          </w:p>
        </w:tc>
        <w:tc>
          <w:tcPr>
            <w:tcW w:w="1804" w:type="dxa"/>
            <w:vAlign w:val="bottom"/>
          </w:tcPr>
          <w:p w14:paraId="04FD16C1" w14:textId="72180739" w:rsidR="00F83453" w:rsidRPr="008F0C72" w:rsidRDefault="00F83453" w:rsidP="00F83453">
            <w:pPr>
              <w:jc w:val="right"/>
            </w:pPr>
            <w:r>
              <w:rPr>
                <w:rFonts w:ascii="Calibri" w:hAnsi="Calibri" w:cs="Calibri"/>
                <w:color w:val="000000"/>
              </w:rPr>
              <w:t>51.39</w:t>
            </w:r>
          </w:p>
        </w:tc>
      </w:tr>
      <w:tr w:rsidR="00F83453" w:rsidRPr="008F0C72" w14:paraId="20DCA19A" w14:textId="77777777" w:rsidTr="007F460A">
        <w:tc>
          <w:tcPr>
            <w:tcW w:w="1803" w:type="dxa"/>
          </w:tcPr>
          <w:p w14:paraId="5385EA66" w14:textId="77777777" w:rsidR="00F83453" w:rsidRPr="008F0C72" w:rsidRDefault="00F83453" w:rsidP="00F83453">
            <w:r w:rsidRPr="008F0C72">
              <w:rPr>
                <w:rFonts w:ascii="Calibri" w:hAnsi="Calibri"/>
                <w:color w:val="000000"/>
              </w:rPr>
              <w:t>NT</w:t>
            </w:r>
          </w:p>
        </w:tc>
        <w:tc>
          <w:tcPr>
            <w:tcW w:w="1803" w:type="dxa"/>
            <w:vAlign w:val="bottom"/>
          </w:tcPr>
          <w:p w14:paraId="537E3215" w14:textId="2CCFBCB1" w:rsidR="00F83453" w:rsidRPr="008F0C72" w:rsidRDefault="00F83453" w:rsidP="00F83453">
            <w:pPr>
              <w:jc w:val="right"/>
            </w:pPr>
            <w:r>
              <w:rPr>
                <w:rFonts w:ascii="Calibri" w:hAnsi="Calibri" w:cs="Calibri"/>
                <w:color w:val="000000"/>
              </w:rPr>
              <w:t>163</w:t>
            </w:r>
          </w:p>
        </w:tc>
        <w:tc>
          <w:tcPr>
            <w:tcW w:w="1803" w:type="dxa"/>
            <w:vAlign w:val="bottom"/>
          </w:tcPr>
          <w:p w14:paraId="2B54201A" w14:textId="1CBB49F9" w:rsidR="00F83453" w:rsidRPr="008F0C72" w:rsidRDefault="00F83453" w:rsidP="00F83453">
            <w:pPr>
              <w:jc w:val="right"/>
            </w:pPr>
            <w:r>
              <w:rPr>
                <w:rFonts w:ascii="Calibri" w:hAnsi="Calibri" w:cs="Calibri"/>
                <w:color w:val="000000"/>
              </w:rPr>
              <w:t>$6,457,533</w:t>
            </w:r>
          </w:p>
        </w:tc>
        <w:tc>
          <w:tcPr>
            <w:tcW w:w="1803" w:type="dxa"/>
            <w:vAlign w:val="bottom"/>
          </w:tcPr>
          <w:p w14:paraId="5560626E" w14:textId="38ACF1B9" w:rsidR="00F83453" w:rsidRPr="008F0C72" w:rsidRDefault="00F83453" w:rsidP="00F83453">
            <w:pPr>
              <w:jc w:val="right"/>
            </w:pPr>
            <w:r>
              <w:rPr>
                <w:rFonts w:ascii="Calibri" w:hAnsi="Calibri" w:cs="Calibri"/>
                <w:color w:val="000000"/>
              </w:rPr>
              <w:t>$3,347,512</w:t>
            </w:r>
          </w:p>
        </w:tc>
        <w:tc>
          <w:tcPr>
            <w:tcW w:w="1804" w:type="dxa"/>
            <w:vAlign w:val="bottom"/>
          </w:tcPr>
          <w:p w14:paraId="6DACFFC2" w14:textId="7A5A2948" w:rsidR="00F83453" w:rsidRPr="008F0C72" w:rsidRDefault="00F83453" w:rsidP="00F83453">
            <w:pPr>
              <w:jc w:val="right"/>
            </w:pPr>
            <w:r>
              <w:rPr>
                <w:rFonts w:ascii="Calibri" w:hAnsi="Calibri" w:cs="Calibri"/>
                <w:color w:val="000000"/>
              </w:rPr>
              <w:t>51.84</w:t>
            </w:r>
          </w:p>
        </w:tc>
      </w:tr>
      <w:tr w:rsidR="00F83453" w:rsidRPr="008F0C72" w14:paraId="2F113FC0" w14:textId="77777777" w:rsidTr="007F460A">
        <w:tc>
          <w:tcPr>
            <w:tcW w:w="1803" w:type="dxa"/>
          </w:tcPr>
          <w:p w14:paraId="4B30489E" w14:textId="77777777" w:rsidR="00F83453" w:rsidRPr="008F0C72" w:rsidRDefault="00F83453" w:rsidP="00F83453">
            <w:r w:rsidRPr="008F0C72">
              <w:rPr>
                <w:rFonts w:ascii="Calibri" w:hAnsi="Calibri"/>
                <w:color w:val="000000"/>
              </w:rPr>
              <w:t>WA</w:t>
            </w:r>
          </w:p>
        </w:tc>
        <w:tc>
          <w:tcPr>
            <w:tcW w:w="1803" w:type="dxa"/>
            <w:vAlign w:val="bottom"/>
          </w:tcPr>
          <w:p w14:paraId="165EADAB" w14:textId="2EF5FA58" w:rsidR="00F83453" w:rsidRPr="008F0C72" w:rsidRDefault="00F83453" w:rsidP="00F83453">
            <w:pPr>
              <w:jc w:val="right"/>
            </w:pPr>
            <w:r>
              <w:rPr>
                <w:rFonts w:ascii="Calibri" w:hAnsi="Calibri" w:cs="Calibri"/>
                <w:color w:val="000000"/>
              </w:rPr>
              <w:t>1,593</w:t>
            </w:r>
          </w:p>
        </w:tc>
        <w:tc>
          <w:tcPr>
            <w:tcW w:w="1803" w:type="dxa"/>
            <w:vAlign w:val="bottom"/>
          </w:tcPr>
          <w:p w14:paraId="49392B8C" w14:textId="4F9366E8" w:rsidR="00F83453" w:rsidRPr="008F0C72" w:rsidRDefault="00F83453" w:rsidP="00F83453">
            <w:pPr>
              <w:jc w:val="right"/>
            </w:pPr>
            <w:r>
              <w:rPr>
                <w:rFonts w:ascii="Calibri" w:hAnsi="Calibri" w:cs="Calibri"/>
                <w:color w:val="000000"/>
              </w:rPr>
              <w:t>$65,394,808</w:t>
            </w:r>
          </w:p>
        </w:tc>
        <w:tc>
          <w:tcPr>
            <w:tcW w:w="1803" w:type="dxa"/>
            <w:vAlign w:val="bottom"/>
          </w:tcPr>
          <w:p w14:paraId="31487D11" w14:textId="72FABD05" w:rsidR="00F83453" w:rsidRPr="008F0C72" w:rsidRDefault="00F83453" w:rsidP="00F83453">
            <w:pPr>
              <w:jc w:val="right"/>
            </w:pPr>
            <w:r>
              <w:rPr>
                <w:rFonts w:ascii="Calibri" w:hAnsi="Calibri" w:cs="Calibri"/>
                <w:color w:val="000000"/>
              </w:rPr>
              <w:t>$33,598,380</w:t>
            </w:r>
          </w:p>
        </w:tc>
        <w:tc>
          <w:tcPr>
            <w:tcW w:w="1804" w:type="dxa"/>
            <w:vAlign w:val="bottom"/>
          </w:tcPr>
          <w:p w14:paraId="44F2BB89" w14:textId="5D506077" w:rsidR="00F83453" w:rsidRPr="008F0C72" w:rsidRDefault="00F83453" w:rsidP="00F83453">
            <w:pPr>
              <w:jc w:val="right"/>
            </w:pPr>
            <w:r>
              <w:rPr>
                <w:rFonts w:ascii="Calibri" w:hAnsi="Calibri" w:cs="Calibri"/>
                <w:color w:val="000000"/>
              </w:rPr>
              <w:t>51.38</w:t>
            </w:r>
          </w:p>
        </w:tc>
      </w:tr>
      <w:tr w:rsidR="00F83453" w:rsidRPr="008F0C72" w14:paraId="59D1C4BA" w14:textId="77777777" w:rsidTr="007F460A">
        <w:tc>
          <w:tcPr>
            <w:tcW w:w="1803" w:type="dxa"/>
          </w:tcPr>
          <w:p w14:paraId="43C77F71" w14:textId="77777777" w:rsidR="00F83453" w:rsidRPr="008F0C72" w:rsidRDefault="00F83453" w:rsidP="00F83453">
            <w:r w:rsidRPr="008F0C72">
              <w:rPr>
                <w:rFonts w:ascii="Calibri" w:hAnsi="Calibri"/>
                <w:color w:val="000000"/>
              </w:rPr>
              <w:t>Tas</w:t>
            </w:r>
          </w:p>
        </w:tc>
        <w:tc>
          <w:tcPr>
            <w:tcW w:w="1803" w:type="dxa"/>
            <w:vAlign w:val="bottom"/>
          </w:tcPr>
          <w:p w14:paraId="5770F1F5" w14:textId="3E0518E5" w:rsidR="00F83453" w:rsidRPr="008F0C72" w:rsidRDefault="00F83453" w:rsidP="00F83453">
            <w:pPr>
              <w:jc w:val="right"/>
            </w:pPr>
            <w:r>
              <w:rPr>
                <w:rFonts w:ascii="Calibri" w:hAnsi="Calibri" w:cs="Calibri"/>
                <w:color w:val="000000"/>
              </w:rPr>
              <w:t>238</w:t>
            </w:r>
          </w:p>
        </w:tc>
        <w:tc>
          <w:tcPr>
            <w:tcW w:w="1803" w:type="dxa"/>
            <w:vAlign w:val="bottom"/>
          </w:tcPr>
          <w:p w14:paraId="22FF3107" w14:textId="54C3E42F" w:rsidR="00F83453" w:rsidRPr="008F0C72" w:rsidRDefault="00F83453" w:rsidP="00F83453">
            <w:pPr>
              <w:jc w:val="right"/>
            </w:pPr>
            <w:r>
              <w:rPr>
                <w:rFonts w:ascii="Calibri" w:hAnsi="Calibri" w:cs="Calibri"/>
                <w:color w:val="000000"/>
              </w:rPr>
              <w:t>$8,507,595</w:t>
            </w:r>
          </w:p>
        </w:tc>
        <w:tc>
          <w:tcPr>
            <w:tcW w:w="1803" w:type="dxa"/>
            <w:vAlign w:val="bottom"/>
          </w:tcPr>
          <w:p w14:paraId="33089809" w14:textId="32858B17" w:rsidR="00F83453" w:rsidRPr="008F0C72" w:rsidRDefault="00F83453" w:rsidP="00F83453">
            <w:pPr>
              <w:jc w:val="right"/>
            </w:pPr>
            <w:r>
              <w:rPr>
                <w:rFonts w:ascii="Calibri" w:hAnsi="Calibri" w:cs="Calibri"/>
                <w:color w:val="000000"/>
              </w:rPr>
              <w:t>$4,496,281</w:t>
            </w:r>
          </w:p>
        </w:tc>
        <w:tc>
          <w:tcPr>
            <w:tcW w:w="1804" w:type="dxa"/>
            <w:vAlign w:val="bottom"/>
          </w:tcPr>
          <w:p w14:paraId="6BBD577A" w14:textId="4FA7B287" w:rsidR="00F83453" w:rsidRPr="008F0C72" w:rsidRDefault="00F83453" w:rsidP="00F83453">
            <w:pPr>
              <w:jc w:val="right"/>
            </w:pPr>
            <w:r>
              <w:rPr>
                <w:rFonts w:ascii="Calibri" w:hAnsi="Calibri" w:cs="Calibri"/>
                <w:color w:val="000000"/>
              </w:rPr>
              <w:t>52.85</w:t>
            </w:r>
          </w:p>
        </w:tc>
      </w:tr>
      <w:tr w:rsidR="00F83453" w:rsidRPr="008F0C72" w14:paraId="5C7CA0D9" w14:textId="77777777" w:rsidTr="007F460A">
        <w:tc>
          <w:tcPr>
            <w:tcW w:w="1803" w:type="dxa"/>
          </w:tcPr>
          <w:p w14:paraId="5F74F281" w14:textId="77777777" w:rsidR="00F83453" w:rsidRPr="008F0C72" w:rsidRDefault="00F83453" w:rsidP="00F83453">
            <w:r w:rsidRPr="008F0C72">
              <w:rPr>
                <w:rFonts w:ascii="Calibri" w:hAnsi="Calibri"/>
                <w:color w:val="000000"/>
              </w:rPr>
              <w:t>Total</w:t>
            </w:r>
          </w:p>
        </w:tc>
        <w:tc>
          <w:tcPr>
            <w:tcW w:w="1803" w:type="dxa"/>
            <w:vAlign w:val="bottom"/>
          </w:tcPr>
          <w:p w14:paraId="24881E06" w14:textId="09E8CB9E" w:rsidR="00F83453" w:rsidRPr="008F0C72" w:rsidRDefault="00F83453" w:rsidP="00F83453">
            <w:pPr>
              <w:jc w:val="right"/>
            </w:pPr>
            <w:r>
              <w:rPr>
                <w:rFonts w:ascii="Calibri" w:hAnsi="Calibri" w:cs="Calibri"/>
                <w:color w:val="000000"/>
              </w:rPr>
              <w:t>12,571</w:t>
            </w:r>
          </w:p>
        </w:tc>
        <w:tc>
          <w:tcPr>
            <w:tcW w:w="1803" w:type="dxa"/>
            <w:vAlign w:val="bottom"/>
          </w:tcPr>
          <w:p w14:paraId="14F499E2" w14:textId="781DA81D" w:rsidR="00F83453" w:rsidRPr="008F0C72" w:rsidRDefault="00F83453" w:rsidP="00F83453">
            <w:pPr>
              <w:jc w:val="right"/>
            </w:pPr>
            <w:r>
              <w:rPr>
                <w:rFonts w:ascii="Calibri" w:hAnsi="Calibri" w:cs="Calibri"/>
                <w:color w:val="000000"/>
              </w:rPr>
              <w:t>$464,505,833</w:t>
            </w:r>
          </w:p>
        </w:tc>
        <w:tc>
          <w:tcPr>
            <w:tcW w:w="1803" w:type="dxa"/>
            <w:vAlign w:val="bottom"/>
          </w:tcPr>
          <w:p w14:paraId="06C03471" w14:textId="0E27D7CF" w:rsidR="00F83453" w:rsidRPr="008F0C72" w:rsidRDefault="00F83453" w:rsidP="00F83453">
            <w:pPr>
              <w:jc w:val="right"/>
            </w:pPr>
            <w:r>
              <w:rPr>
                <w:rFonts w:ascii="Calibri" w:hAnsi="Calibri" w:cs="Calibri"/>
                <w:color w:val="000000"/>
              </w:rPr>
              <w:t>$240,329,204</w:t>
            </w:r>
          </w:p>
        </w:tc>
        <w:tc>
          <w:tcPr>
            <w:tcW w:w="1804" w:type="dxa"/>
            <w:vAlign w:val="bottom"/>
          </w:tcPr>
          <w:p w14:paraId="16A89584" w14:textId="68FC32C4" w:rsidR="00F83453" w:rsidRPr="008F0C72" w:rsidRDefault="00F83453" w:rsidP="00F83453">
            <w:pPr>
              <w:jc w:val="right"/>
            </w:pPr>
            <w:r>
              <w:rPr>
                <w:rFonts w:ascii="Calibri" w:hAnsi="Calibri" w:cs="Calibri"/>
                <w:color w:val="000000"/>
              </w:rPr>
              <w:t>51.74</w:t>
            </w:r>
          </w:p>
        </w:tc>
      </w:tr>
    </w:tbl>
    <w:p w14:paraId="34339201" w14:textId="77777777" w:rsidR="00523426" w:rsidRPr="008F0C72" w:rsidRDefault="00523426" w:rsidP="00523426">
      <w:pPr>
        <w:rPr>
          <w:highlight w:val="yellow"/>
        </w:rPr>
      </w:pPr>
    </w:p>
    <w:p w14:paraId="3974FCCA" w14:textId="77777777" w:rsidR="00523426" w:rsidRPr="0081678B" w:rsidRDefault="00523426" w:rsidP="00523426">
      <w:pPr>
        <w:pStyle w:val="Heading3"/>
      </w:pPr>
      <w:r w:rsidRPr="0081678B">
        <w:t>Personal insolvency agreements</w:t>
      </w:r>
    </w:p>
    <w:p w14:paraId="5812B5B6" w14:textId="04B4D349" w:rsidR="00523426" w:rsidRPr="0081678B" w:rsidRDefault="00523426" w:rsidP="00523426">
      <w:r w:rsidRPr="0081678B">
        <w:t xml:space="preserve">There were </w:t>
      </w:r>
      <w:r w:rsidR="00C7241F">
        <w:t>2</w:t>
      </w:r>
      <w:r w:rsidR="009878A5">
        <w:t>38</w:t>
      </w:r>
      <w:r w:rsidRPr="0081678B">
        <w:t xml:space="preserve"> personal insolvency agreement estates finalised in 20</w:t>
      </w:r>
      <w:r w:rsidR="0081678B" w:rsidRPr="0081678B">
        <w:t>2</w:t>
      </w:r>
      <w:r w:rsidR="009878A5">
        <w:t>2</w:t>
      </w:r>
      <w:r w:rsidRPr="0081678B">
        <w:t>–</w:t>
      </w:r>
      <w:r w:rsidR="0081678B" w:rsidRPr="0081678B">
        <w:t>2</w:t>
      </w:r>
      <w:r w:rsidR="009878A5">
        <w:t>3</w:t>
      </w:r>
      <w:r w:rsidRPr="0081678B">
        <w:t xml:space="preserve"> by registered trustees. Unsecured creditors received an average of </w:t>
      </w:r>
      <w:r w:rsidR="00FF352A">
        <w:t>10</w:t>
      </w:r>
      <w:r w:rsidR="0081678B" w:rsidRPr="0081678B">
        <w:t>.</w:t>
      </w:r>
      <w:r w:rsidR="00FF352A">
        <w:t>36</w:t>
      </w:r>
      <w:r w:rsidRPr="0081678B">
        <w:t xml:space="preserve"> cents for every dollar they were owed. There were no personal insolvency agreement estates finalised by </w:t>
      </w:r>
      <w:r w:rsidR="001979D5">
        <w:t>t</w:t>
      </w:r>
      <w:r w:rsidRPr="0081678B">
        <w:t>he Official Trustee in 20</w:t>
      </w:r>
      <w:r w:rsidR="0081678B" w:rsidRPr="0081678B">
        <w:t>2</w:t>
      </w:r>
      <w:r w:rsidR="00FF352A">
        <w:t>2</w:t>
      </w:r>
      <w:r w:rsidRPr="0081678B">
        <w:t>–</w:t>
      </w:r>
      <w:r w:rsidR="0081678B" w:rsidRPr="0081678B">
        <w:t>2</w:t>
      </w:r>
      <w:r w:rsidR="00FF352A">
        <w:t>3</w:t>
      </w:r>
      <w:r w:rsidRPr="0081678B">
        <w:t>. The Official Trustee only administers personal insolvency agreements when a registered trustee resigns, is deregistered or dies.</w:t>
      </w:r>
    </w:p>
    <w:p w14:paraId="60D1E946" w14:textId="77777777" w:rsidR="00523426" w:rsidRPr="0081678B" w:rsidRDefault="00523426" w:rsidP="00523426">
      <w:pPr>
        <w:rPr>
          <w:rFonts w:cs="Arial"/>
        </w:rPr>
      </w:pPr>
      <w:r w:rsidRPr="0081678B">
        <w:rPr>
          <w:rFonts w:cs="Arial"/>
        </w:rPr>
        <w:t>The following table shows the average rate of return in personal insolvency agreement estates. An insolvency proceeding is reported as one administration regardless of whether there are multiple debtors. Each partner in the insolvency proceeding has an estate.</w:t>
      </w:r>
    </w:p>
    <w:tbl>
      <w:tblPr>
        <w:tblStyle w:val="TableGrid"/>
        <w:tblW w:w="0" w:type="auto"/>
        <w:tblLook w:val="04A0" w:firstRow="1" w:lastRow="0" w:firstColumn="1" w:lastColumn="0" w:noHBand="0" w:noVBand="1"/>
      </w:tblPr>
      <w:tblGrid>
        <w:gridCol w:w="6941"/>
        <w:gridCol w:w="1985"/>
      </w:tblGrid>
      <w:tr w:rsidR="00523426" w:rsidRPr="0081678B" w14:paraId="060BCEE5" w14:textId="77777777" w:rsidTr="00ED06FF">
        <w:tc>
          <w:tcPr>
            <w:tcW w:w="6941" w:type="dxa"/>
            <w:vAlign w:val="bottom"/>
          </w:tcPr>
          <w:p w14:paraId="6FEEFA51" w14:textId="77777777" w:rsidR="00523426" w:rsidRPr="0081678B" w:rsidRDefault="00523426" w:rsidP="00ED06FF">
            <w:pPr>
              <w:pStyle w:val="Heading3"/>
            </w:pPr>
            <w:r w:rsidRPr="0081678B">
              <w:rPr>
                <w:rFonts w:ascii="Calibri" w:hAnsi="Calibri"/>
                <w:color w:val="000000"/>
                <w:sz w:val="22"/>
                <w:szCs w:val="22"/>
              </w:rPr>
              <w:t> </w:t>
            </w:r>
          </w:p>
        </w:tc>
        <w:tc>
          <w:tcPr>
            <w:tcW w:w="1985" w:type="dxa"/>
            <w:vAlign w:val="bottom"/>
          </w:tcPr>
          <w:p w14:paraId="3E05F81A" w14:textId="2EAF8F86" w:rsidR="00523426" w:rsidRPr="0081678B" w:rsidRDefault="00523426" w:rsidP="00ED06FF">
            <w:pPr>
              <w:pStyle w:val="Heading3"/>
            </w:pPr>
            <w:r w:rsidRPr="0081678B">
              <w:rPr>
                <w:rFonts w:ascii="Calibri" w:hAnsi="Calibri"/>
                <w:b/>
                <w:bCs/>
                <w:color w:val="000000"/>
                <w:sz w:val="22"/>
                <w:szCs w:val="22"/>
              </w:rPr>
              <w:t>Registered trustees: 20</w:t>
            </w:r>
            <w:r w:rsidR="0081678B" w:rsidRPr="0081678B">
              <w:rPr>
                <w:rFonts w:ascii="Calibri" w:hAnsi="Calibri"/>
                <w:b/>
                <w:bCs/>
                <w:color w:val="000000"/>
                <w:sz w:val="22"/>
                <w:szCs w:val="22"/>
              </w:rPr>
              <w:t>2</w:t>
            </w:r>
            <w:r w:rsidR="00D913BB">
              <w:rPr>
                <w:rFonts w:ascii="Calibri" w:hAnsi="Calibri"/>
                <w:b/>
                <w:bCs/>
                <w:color w:val="000000"/>
                <w:sz w:val="22"/>
                <w:szCs w:val="22"/>
              </w:rPr>
              <w:t>2</w:t>
            </w:r>
            <w:r w:rsidRPr="0081678B">
              <w:rPr>
                <w:rFonts w:ascii="Calibri" w:hAnsi="Calibri"/>
                <w:b/>
                <w:bCs/>
                <w:color w:val="000000"/>
                <w:sz w:val="22"/>
                <w:szCs w:val="22"/>
              </w:rPr>
              <w:t>–</w:t>
            </w:r>
            <w:r w:rsidR="0081678B" w:rsidRPr="0081678B">
              <w:rPr>
                <w:rFonts w:ascii="Calibri" w:hAnsi="Calibri"/>
                <w:b/>
                <w:bCs/>
                <w:color w:val="000000"/>
                <w:sz w:val="22"/>
                <w:szCs w:val="22"/>
              </w:rPr>
              <w:t>2</w:t>
            </w:r>
            <w:r w:rsidR="00D913BB">
              <w:rPr>
                <w:rFonts w:ascii="Calibri" w:hAnsi="Calibri"/>
                <w:b/>
                <w:bCs/>
                <w:color w:val="000000"/>
                <w:sz w:val="22"/>
                <w:szCs w:val="22"/>
              </w:rPr>
              <w:t>3</w:t>
            </w:r>
          </w:p>
        </w:tc>
      </w:tr>
      <w:tr w:rsidR="009411F7" w:rsidRPr="0081678B" w14:paraId="20616151" w14:textId="77777777" w:rsidTr="00ED06FF">
        <w:tc>
          <w:tcPr>
            <w:tcW w:w="6941" w:type="dxa"/>
            <w:vAlign w:val="bottom"/>
          </w:tcPr>
          <w:p w14:paraId="0E0CEBAE" w14:textId="77777777" w:rsidR="009411F7" w:rsidRPr="0081678B" w:rsidRDefault="009411F7" w:rsidP="009411F7">
            <w:pPr>
              <w:pStyle w:val="Heading3"/>
            </w:pPr>
            <w:r w:rsidRPr="0081678B">
              <w:rPr>
                <w:rFonts w:ascii="Calibri" w:hAnsi="Calibri"/>
                <w:color w:val="000000"/>
                <w:sz w:val="22"/>
                <w:szCs w:val="22"/>
              </w:rPr>
              <w:t>Number of estates finalised during the year</w:t>
            </w:r>
          </w:p>
        </w:tc>
        <w:tc>
          <w:tcPr>
            <w:tcW w:w="1985" w:type="dxa"/>
            <w:shd w:val="clear" w:color="auto" w:fill="auto"/>
          </w:tcPr>
          <w:p w14:paraId="20BA2670" w14:textId="5F32F2E9" w:rsidR="009411F7" w:rsidRPr="0081678B" w:rsidRDefault="009411F7" w:rsidP="009411F7">
            <w:pPr>
              <w:jc w:val="right"/>
            </w:pPr>
            <w:r w:rsidRPr="00475472">
              <w:t>238</w:t>
            </w:r>
          </w:p>
        </w:tc>
      </w:tr>
      <w:tr w:rsidR="009411F7" w:rsidRPr="0081678B" w14:paraId="0DBF4D14" w14:textId="77777777" w:rsidTr="00ED06FF">
        <w:tc>
          <w:tcPr>
            <w:tcW w:w="6941" w:type="dxa"/>
            <w:vAlign w:val="bottom"/>
          </w:tcPr>
          <w:p w14:paraId="52DF36F8" w14:textId="77777777" w:rsidR="009411F7" w:rsidRPr="0081678B" w:rsidRDefault="009411F7" w:rsidP="009411F7">
            <w:pPr>
              <w:pStyle w:val="Heading3"/>
            </w:pPr>
            <w:r w:rsidRPr="0081678B">
              <w:rPr>
                <w:rFonts w:ascii="Calibri" w:hAnsi="Calibri"/>
                <w:color w:val="000000"/>
                <w:sz w:val="22"/>
                <w:szCs w:val="22"/>
              </w:rPr>
              <w:t>Number of finalised estates that have paid a dividend</w:t>
            </w:r>
          </w:p>
        </w:tc>
        <w:tc>
          <w:tcPr>
            <w:tcW w:w="1985" w:type="dxa"/>
            <w:shd w:val="clear" w:color="auto" w:fill="auto"/>
          </w:tcPr>
          <w:p w14:paraId="584C9A10" w14:textId="009F8A28" w:rsidR="009411F7" w:rsidRPr="0081678B" w:rsidRDefault="009411F7" w:rsidP="009411F7">
            <w:pPr>
              <w:jc w:val="right"/>
            </w:pPr>
            <w:r w:rsidRPr="00475472">
              <w:t>199</w:t>
            </w:r>
          </w:p>
        </w:tc>
      </w:tr>
      <w:tr w:rsidR="009411F7" w:rsidRPr="0081678B" w14:paraId="71735626" w14:textId="77777777" w:rsidTr="00ED06FF">
        <w:tc>
          <w:tcPr>
            <w:tcW w:w="6941" w:type="dxa"/>
            <w:vAlign w:val="bottom"/>
          </w:tcPr>
          <w:p w14:paraId="7EFCB601" w14:textId="77777777" w:rsidR="009411F7" w:rsidRPr="0081678B" w:rsidRDefault="009411F7" w:rsidP="009411F7">
            <w:pPr>
              <w:pStyle w:val="Heading3"/>
            </w:pPr>
            <w:r w:rsidRPr="0081678B">
              <w:rPr>
                <w:rFonts w:ascii="Calibri" w:hAnsi="Calibri"/>
                <w:color w:val="000000"/>
                <w:sz w:val="22"/>
                <w:szCs w:val="22"/>
              </w:rPr>
              <w:t>Percentage of finalised estates that have paid a dividend</w:t>
            </w:r>
          </w:p>
        </w:tc>
        <w:tc>
          <w:tcPr>
            <w:tcW w:w="1985" w:type="dxa"/>
            <w:shd w:val="clear" w:color="auto" w:fill="auto"/>
          </w:tcPr>
          <w:p w14:paraId="3FDF37FA" w14:textId="7355034D" w:rsidR="009411F7" w:rsidRPr="0081678B" w:rsidRDefault="009411F7" w:rsidP="009411F7">
            <w:pPr>
              <w:jc w:val="right"/>
            </w:pPr>
            <w:r w:rsidRPr="00475472">
              <w:t>83.61%</w:t>
            </w:r>
          </w:p>
        </w:tc>
      </w:tr>
      <w:tr w:rsidR="009878A5" w:rsidRPr="0081678B" w14:paraId="36965A1B" w14:textId="77777777" w:rsidTr="00ED06FF">
        <w:tc>
          <w:tcPr>
            <w:tcW w:w="6941" w:type="dxa"/>
            <w:vAlign w:val="bottom"/>
          </w:tcPr>
          <w:p w14:paraId="70BCD1F5" w14:textId="77777777" w:rsidR="009878A5" w:rsidRPr="0081678B" w:rsidRDefault="009878A5" w:rsidP="009878A5">
            <w:pPr>
              <w:pStyle w:val="Heading3"/>
            </w:pPr>
            <w:r w:rsidRPr="0081678B">
              <w:rPr>
                <w:rFonts w:ascii="Calibri" w:hAnsi="Calibri"/>
                <w:color w:val="000000"/>
                <w:sz w:val="22"/>
                <w:szCs w:val="22"/>
              </w:rPr>
              <w:t>Average rate of return for unsecured creditors in dividend paying estates (cents per dollar)</w:t>
            </w:r>
          </w:p>
        </w:tc>
        <w:tc>
          <w:tcPr>
            <w:tcW w:w="1985" w:type="dxa"/>
            <w:shd w:val="clear" w:color="auto" w:fill="auto"/>
          </w:tcPr>
          <w:p w14:paraId="16CFA269" w14:textId="7CFB357A" w:rsidR="009878A5" w:rsidRPr="0081678B" w:rsidRDefault="009878A5" w:rsidP="009878A5">
            <w:pPr>
              <w:jc w:val="right"/>
            </w:pPr>
            <w:r w:rsidRPr="00CB239C">
              <w:t>12.70</w:t>
            </w:r>
          </w:p>
        </w:tc>
      </w:tr>
      <w:tr w:rsidR="009878A5" w:rsidRPr="00CD70A9" w14:paraId="4842D050" w14:textId="77777777" w:rsidTr="00ED06FF">
        <w:tc>
          <w:tcPr>
            <w:tcW w:w="6941" w:type="dxa"/>
            <w:vAlign w:val="bottom"/>
          </w:tcPr>
          <w:p w14:paraId="410B8DFB" w14:textId="77777777" w:rsidR="009878A5" w:rsidRPr="0081678B" w:rsidRDefault="009878A5" w:rsidP="009878A5">
            <w:pPr>
              <w:pStyle w:val="Heading3"/>
            </w:pPr>
            <w:r w:rsidRPr="0081678B">
              <w:rPr>
                <w:rFonts w:ascii="Calibri" w:hAnsi="Calibri"/>
                <w:color w:val="000000"/>
                <w:sz w:val="22"/>
                <w:szCs w:val="22"/>
              </w:rPr>
              <w:t>Average rate of return for unsecured creditors in all finalised estates (cents per dollar)</w:t>
            </w:r>
          </w:p>
        </w:tc>
        <w:tc>
          <w:tcPr>
            <w:tcW w:w="1985" w:type="dxa"/>
            <w:shd w:val="clear" w:color="auto" w:fill="auto"/>
          </w:tcPr>
          <w:p w14:paraId="7352BDA8" w14:textId="39445131" w:rsidR="009878A5" w:rsidRPr="0081678B" w:rsidRDefault="009878A5" w:rsidP="009878A5">
            <w:pPr>
              <w:jc w:val="right"/>
            </w:pPr>
            <w:r w:rsidRPr="00CB239C">
              <w:t>10.36</w:t>
            </w:r>
          </w:p>
        </w:tc>
      </w:tr>
    </w:tbl>
    <w:p w14:paraId="463E77AF" w14:textId="77777777" w:rsidR="00523426" w:rsidRPr="00CD70A9" w:rsidRDefault="00523426" w:rsidP="00523426">
      <w:pPr>
        <w:rPr>
          <w:highlight w:val="yellow"/>
        </w:rPr>
      </w:pPr>
    </w:p>
    <w:p w14:paraId="29C59FA8" w14:textId="77777777" w:rsidR="00627A2A" w:rsidRDefault="00000000"/>
    <w:sectPr w:rsidR="00627A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82BF" w14:textId="77777777" w:rsidR="00E8743C" w:rsidRDefault="00E8743C" w:rsidP="00671226">
      <w:pPr>
        <w:spacing w:after="0" w:line="240" w:lineRule="auto"/>
      </w:pPr>
      <w:r>
        <w:separator/>
      </w:r>
    </w:p>
  </w:endnote>
  <w:endnote w:type="continuationSeparator" w:id="0">
    <w:p w14:paraId="6B667541" w14:textId="77777777" w:rsidR="00E8743C" w:rsidRDefault="00E8743C" w:rsidP="00671226">
      <w:pPr>
        <w:spacing w:after="0" w:line="240" w:lineRule="auto"/>
      </w:pPr>
      <w:r>
        <w:continuationSeparator/>
      </w:r>
    </w:p>
  </w:endnote>
  <w:endnote w:type="continuationNotice" w:id="1">
    <w:p w14:paraId="13306231" w14:textId="77777777" w:rsidR="00E8743C" w:rsidRDefault="00E87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E739" w14:textId="5C555629" w:rsidR="00671226" w:rsidRDefault="00671226">
    <w:pPr>
      <w:pStyle w:val="Footer"/>
    </w:pPr>
    <w:r>
      <w:rPr>
        <w:noProof/>
      </w:rPr>
      <mc:AlternateContent>
        <mc:Choice Requires="wps">
          <w:drawing>
            <wp:anchor distT="0" distB="0" distL="0" distR="0" simplePos="0" relativeHeight="251658244" behindDoc="0" locked="0" layoutInCell="1" allowOverlap="1" wp14:anchorId="50D74C2B" wp14:editId="79945F89">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0D51F" w14:textId="246CB62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74C2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30D51F" w14:textId="246CB62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0E7A" w14:textId="51E07AA2" w:rsidR="00671226" w:rsidRDefault="00671226">
    <w:pPr>
      <w:pStyle w:val="Footer"/>
    </w:pPr>
    <w:r>
      <w:rPr>
        <w:noProof/>
      </w:rPr>
      <mc:AlternateContent>
        <mc:Choice Requires="wps">
          <w:drawing>
            <wp:anchor distT="0" distB="0" distL="0" distR="0" simplePos="0" relativeHeight="251658245" behindDoc="0" locked="0" layoutInCell="1" allowOverlap="1" wp14:anchorId="2BCD7B29" wp14:editId="253AA74C">
              <wp:simplePos x="635" y="635"/>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D27F7" w14:textId="3FD338E6"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D7B2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B5D27F7" w14:textId="3FD338E6"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D000" w14:textId="77D4ABEA" w:rsidR="00671226" w:rsidRDefault="00671226">
    <w:pPr>
      <w:pStyle w:val="Footer"/>
    </w:pPr>
    <w:r>
      <w:rPr>
        <w:noProof/>
      </w:rPr>
      <mc:AlternateContent>
        <mc:Choice Requires="wps">
          <w:drawing>
            <wp:anchor distT="0" distB="0" distL="0" distR="0" simplePos="0" relativeHeight="251658243" behindDoc="0" locked="0" layoutInCell="1" allowOverlap="1" wp14:anchorId="34D41F34" wp14:editId="613AEB3C">
              <wp:simplePos x="635" y="635"/>
              <wp:positionH relativeFrom="page">
                <wp:align>center</wp:align>
              </wp:positionH>
              <wp:positionV relativeFrom="page">
                <wp:align>bottom</wp:align>
              </wp:positionV>
              <wp:extent cx="443865" cy="443865"/>
              <wp:effectExtent l="0" t="0" r="444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33EA0" w14:textId="72166C0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41F34"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BD33EA0" w14:textId="72166C0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8C6A" w14:textId="77777777" w:rsidR="00E8743C" w:rsidRDefault="00E8743C" w:rsidP="00671226">
      <w:pPr>
        <w:spacing w:after="0" w:line="240" w:lineRule="auto"/>
      </w:pPr>
      <w:r>
        <w:separator/>
      </w:r>
    </w:p>
  </w:footnote>
  <w:footnote w:type="continuationSeparator" w:id="0">
    <w:p w14:paraId="0AD5982D" w14:textId="77777777" w:rsidR="00E8743C" w:rsidRDefault="00E8743C" w:rsidP="00671226">
      <w:pPr>
        <w:spacing w:after="0" w:line="240" w:lineRule="auto"/>
      </w:pPr>
      <w:r>
        <w:continuationSeparator/>
      </w:r>
    </w:p>
  </w:footnote>
  <w:footnote w:type="continuationNotice" w:id="1">
    <w:p w14:paraId="717B57F7" w14:textId="77777777" w:rsidR="00E8743C" w:rsidRDefault="00E87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52FB" w14:textId="2FFDFC47" w:rsidR="00671226" w:rsidRDefault="00671226">
    <w:pPr>
      <w:pStyle w:val="Header"/>
    </w:pPr>
    <w:r>
      <w:rPr>
        <w:noProof/>
      </w:rPr>
      <mc:AlternateContent>
        <mc:Choice Requires="wps">
          <w:drawing>
            <wp:anchor distT="0" distB="0" distL="0" distR="0" simplePos="0" relativeHeight="251658241" behindDoc="0" locked="0" layoutInCell="1" allowOverlap="1" wp14:anchorId="3DC3F34E" wp14:editId="69FDF5DC">
              <wp:simplePos x="635" y="635"/>
              <wp:positionH relativeFrom="page">
                <wp:align>center</wp:align>
              </wp:positionH>
              <wp:positionV relativeFrom="page">
                <wp:align>top</wp:align>
              </wp:positionV>
              <wp:extent cx="443865" cy="443865"/>
              <wp:effectExtent l="0" t="0" r="4445" b="133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89F57" w14:textId="6B45A5FE"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3F34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389F57" w14:textId="6B45A5FE"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CAEA" w14:textId="4CBEAA9C" w:rsidR="00671226" w:rsidRDefault="00671226">
    <w:pPr>
      <w:pStyle w:val="Header"/>
    </w:pPr>
    <w:r>
      <w:rPr>
        <w:noProof/>
      </w:rPr>
      <mc:AlternateContent>
        <mc:Choice Requires="wps">
          <w:drawing>
            <wp:anchor distT="0" distB="0" distL="0" distR="0" simplePos="0" relativeHeight="251658242" behindDoc="0" locked="0" layoutInCell="1" allowOverlap="1" wp14:anchorId="49A4038E" wp14:editId="71337F7C">
              <wp:simplePos x="635" y="63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5F538" w14:textId="42BD3F5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4038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A5F538" w14:textId="42BD3F55"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B3E5" w14:textId="5168265B" w:rsidR="00671226" w:rsidRDefault="00671226">
    <w:pPr>
      <w:pStyle w:val="Header"/>
    </w:pPr>
    <w:r>
      <w:rPr>
        <w:noProof/>
      </w:rPr>
      <mc:AlternateContent>
        <mc:Choice Requires="wps">
          <w:drawing>
            <wp:anchor distT="0" distB="0" distL="0" distR="0" simplePos="0" relativeHeight="251658240" behindDoc="0" locked="0" layoutInCell="1" allowOverlap="1" wp14:anchorId="239450BE" wp14:editId="122296A4">
              <wp:simplePos x="635" y="635"/>
              <wp:positionH relativeFrom="page">
                <wp:align>center</wp:align>
              </wp:positionH>
              <wp:positionV relativeFrom="page">
                <wp:align>top</wp:align>
              </wp:positionV>
              <wp:extent cx="443865" cy="443865"/>
              <wp:effectExtent l="0" t="0" r="4445" b="1333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8D1E8" w14:textId="3B499D41"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450B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768D1E8" w14:textId="3B499D41" w:rsidR="00671226" w:rsidRPr="00671226" w:rsidRDefault="00671226" w:rsidP="00671226">
                    <w:pPr>
                      <w:spacing w:after="0"/>
                      <w:rPr>
                        <w:rFonts w:ascii="Calibri" w:eastAsia="Calibri" w:hAnsi="Calibri" w:cs="Calibri"/>
                        <w:noProof/>
                        <w:color w:val="FF0000"/>
                        <w:sz w:val="28"/>
                        <w:szCs w:val="28"/>
                      </w:rPr>
                    </w:pPr>
                    <w:r w:rsidRPr="00671226">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26"/>
    <w:rsid w:val="00000379"/>
    <w:rsid w:val="00087872"/>
    <w:rsid w:val="000B7D66"/>
    <w:rsid w:val="000E147E"/>
    <w:rsid w:val="001329D3"/>
    <w:rsid w:val="00171FDF"/>
    <w:rsid w:val="001979D5"/>
    <w:rsid w:val="001D001E"/>
    <w:rsid w:val="002436DB"/>
    <w:rsid w:val="002772EA"/>
    <w:rsid w:val="002A0AAB"/>
    <w:rsid w:val="002C3827"/>
    <w:rsid w:val="002C4092"/>
    <w:rsid w:val="0035124F"/>
    <w:rsid w:val="00363500"/>
    <w:rsid w:val="00395923"/>
    <w:rsid w:val="00415421"/>
    <w:rsid w:val="004C1F57"/>
    <w:rsid w:val="00523426"/>
    <w:rsid w:val="00545122"/>
    <w:rsid w:val="00556569"/>
    <w:rsid w:val="00565D6A"/>
    <w:rsid w:val="00667571"/>
    <w:rsid w:val="00671226"/>
    <w:rsid w:val="006870E6"/>
    <w:rsid w:val="006D1D94"/>
    <w:rsid w:val="006E1D55"/>
    <w:rsid w:val="007D538D"/>
    <w:rsid w:val="007D78C0"/>
    <w:rsid w:val="00800707"/>
    <w:rsid w:val="0080102C"/>
    <w:rsid w:val="0080428E"/>
    <w:rsid w:val="0081678B"/>
    <w:rsid w:val="008F0C72"/>
    <w:rsid w:val="009411F7"/>
    <w:rsid w:val="009461DA"/>
    <w:rsid w:val="00980D96"/>
    <w:rsid w:val="009878A5"/>
    <w:rsid w:val="009B64DC"/>
    <w:rsid w:val="009D3DCD"/>
    <w:rsid w:val="009F2D63"/>
    <w:rsid w:val="00B20690"/>
    <w:rsid w:val="00B43BE1"/>
    <w:rsid w:val="00B57873"/>
    <w:rsid w:val="00B80B96"/>
    <w:rsid w:val="00C307F5"/>
    <w:rsid w:val="00C67FF4"/>
    <w:rsid w:val="00C7241F"/>
    <w:rsid w:val="00CA1ACD"/>
    <w:rsid w:val="00D310BB"/>
    <w:rsid w:val="00D913BB"/>
    <w:rsid w:val="00DA0404"/>
    <w:rsid w:val="00DB12A9"/>
    <w:rsid w:val="00DC126A"/>
    <w:rsid w:val="00DE2F3F"/>
    <w:rsid w:val="00DE3826"/>
    <w:rsid w:val="00E12681"/>
    <w:rsid w:val="00E538C2"/>
    <w:rsid w:val="00E613C9"/>
    <w:rsid w:val="00E8743C"/>
    <w:rsid w:val="00EE1ABC"/>
    <w:rsid w:val="00F076F8"/>
    <w:rsid w:val="00F16577"/>
    <w:rsid w:val="00F609A1"/>
    <w:rsid w:val="00F614C2"/>
    <w:rsid w:val="00F61577"/>
    <w:rsid w:val="00F677D1"/>
    <w:rsid w:val="00F83453"/>
    <w:rsid w:val="00FC3DF0"/>
    <w:rsid w:val="00FF3466"/>
    <w:rsid w:val="00FF352A"/>
    <w:rsid w:val="0870FC3E"/>
    <w:rsid w:val="0F9C1234"/>
    <w:rsid w:val="221BBD36"/>
    <w:rsid w:val="253A9335"/>
    <w:rsid w:val="260A4B2C"/>
    <w:rsid w:val="320E672B"/>
    <w:rsid w:val="3BE111CB"/>
    <w:rsid w:val="3DC4AE0D"/>
    <w:rsid w:val="420B475D"/>
    <w:rsid w:val="4C58996D"/>
    <w:rsid w:val="4E0A175D"/>
    <w:rsid w:val="502C1FA4"/>
    <w:rsid w:val="776462F0"/>
    <w:rsid w:val="7CF526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2288"/>
  <w15:chartTrackingRefBased/>
  <w15:docId w15:val="{716593B4-6411-4BB2-986D-132953DD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26"/>
  </w:style>
  <w:style w:type="paragraph" w:styleId="Heading2">
    <w:name w:val="heading 2"/>
    <w:basedOn w:val="Normal"/>
    <w:next w:val="Normal"/>
    <w:link w:val="Heading2Char"/>
    <w:uiPriority w:val="9"/>
    <w:unhideWhenUsed/>
    <w:qFormat/>
    <w:rsid w:val="00523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4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34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34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342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2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226"/>
  </w:style>
  <w:style w:type="paragraph" w:styleId="Footer">
    <w:name w:val="footer"/>
    <w:basedOn w:val="Normal"/>
    <w:link w:val="FooterChar"/>
    <w:uiPriority w:val="99"/>
    <w:unhideWhenUsed/>
    <w:rsid w:val="0067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b44b81-153f-4bbe-acb1-d13c96326b4f" xsi:nil="true"/>
    <lcf76f155ced4ddcb4097134ff3c332f xmlns="e93ca305-1d07-4aca-8d55-5c008d9a3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640D06487C94F8079D1484372A9B6" ma:contentTypeVersion="18" ma:contentTypeDescription="Create a new document." ma:contentTypeScope="" ma:versionID="a2d17fa70c9984a139b57df36eb07a29">
  <xsd:schema xmlns:xsd="http://www.w3.org/2001/XMLSchema" xmlns:xs="http://www.w3.org/2001/XMLSchema" xmlns:p="http://schemas.microsoft.com/office/2006/metadata/properties" xmlns:ns2="e93ca305-1d07-4aca-8d55-5c008d9a39bd" xmlns:ns3="86b44b81-153f-4bbe-acb1-d13c96326b4f" targetNamespace="http://schemas.microsoft.com/office/2006/metadata/properties" ma:root="true" ma:fieldsID="db331e16121fbd551a1e2ab5da52dbc9" ns2:_="" ns3:_="">
    <xsd:import namespace="e93ca305-1d07-4aca-8d55-5c008d9a39bd"/>
    <xsd:import namespace="86b44b81-153f-4bbe-acb1-d13c96326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ca305-1d07-4aca-8d55-5c008d9a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4dd9da-ad1b-4c3c-a08c-a2838310bff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b44b81-153f-4bbe-acb1-d13c96326b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1bb7fe-79d8-44fe-ab4c-339c240a9d06}" ma:internalName="TaxCatchAll" ma:showField="CatchAllData" ma:web="86b44b81-153f-4bbe-acb1-d13c96326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71799-65D6-47F2-A9C5-939AC6543C0D}">
  <ds:schemaRefs>
    <ds:schemaRef ds:uri="http://schemas.microsoft.com/office/2006/metadata/properties"/>
    <ds:schemaRef ds:uri="http://schemas.microsoft.com/office/infopath/2007/PartnerControls"/>
    <ds:schemaRef ds:uri="86b44b81-153f-4bbe-acb1-d13c96326b4f"/>
    <ds:schemaRef ds:uri="e93ca305-1d07-4aca-8d55-5c008d9a39bd"/>
  </ds:schemaRefs>
</ds:datastoreItem>
</file>

<file path=customXml/itemProps2.xml><?xml version="1.0" encoding="utf-8"?>
<ds:datastoreItem xmlns:ds="http://schemas.openxmlformats.org/officeDocument/2006/customXml" ds:itemID="{2FAB9B1B-439D-4B1C-93B3-B1953BB15691}">
  <ds:schemaRefs>
    <ds:schemaRef ds:uri="http://schemas.microsoft.com/sharepoint/v3/contenttype/forms"/>
  </ds:schemaRefs>
</ds:datastoreItem>
</file>

<file path=customXml/itemProps3.xml><?xml version="1.0" encoding="utf-8"?>
<ds:datastoreItem xmlns:ds="http://schemas.openxmlformats.org/officeDocument/2006/customXml" ds:itemID="{794AA48B-56B5-4189-B0C3-BC37589F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ca305-1d07-4aca-8d55-5c008d9a39bd"/>
    <ds:schemaRef ds:uri="86b44b81-153f-4bbe-acb1-d13c96326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WICHT</dc:creator>
  <cp:keywords/>
  <dc:description/>
  <cp:lastModifiedBy>Mark WICHT</cp:lastModifiedBy>
  <cp:revision>64</cp:revision>
  <dcterms:created xsi:type="dcterms:W3CDTF">2022-11-09T01:08:00Z</dcterms:created>
  <dcterms:modified xsi:type="dcterms:W3CDTF">2023-12-10T10:14:00Z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0x0101001BD640D06487C94F8079D1484372A9B6</vt:lpwstr>
  </property>
  <property fmtid="{D5CDD505-2E9C-101B-9397-08002B2CF9AE}" pid="3" name="ClassificationContentMarkingHeaderShapeIds">
    <vt:lpwstr>1,2,3</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#ff0000,14,Calibri</vt:lpwstr>
  </property>
  <property fmtid="{D5CDD505-2E9C-101B-9397-08002B2CF9AE}" pid="8" name="ClassificationContentMarkingFooterText">
    <vt:lpwstr>OFFICIAL</vt:lpwstr>
  </property>
  <property fmtid="{D5CDD505-2E9C-101B-9397-08002B2CF9AE}" pid="9" name="MSIP_Label_81af44e5-4e25-40be-b437-08fbc55eac1d_Enabled">
    <vt:lpwstr>true</vt:lpwstr>
  </property>
  <property fmtid="{D5CDD505-2E9C-101B-9397-08002B2CF9AE}" pid="10" name="MSIP_Label_81af44e5-4e25-40be-b437-08fbc55eac1d_SetDate">
    <vt:lpwstr>2022-11-09T01:08:36Z</vt:lpwstr>
  </property>
  <property fmtid="{D5CDD505-2E9C-101B-9397-08002B2CF9AE}" pid="11" name="MSIP_Label_81af44e5-4e25-40be-b437-08fbc55eac1d_Method">
    <vt:lpwstr>Privileged</vt:lpwstr>
  </property>
  <property fmtid="{D5CDD505-2E9C-101B-9397-08002B2CF9AE}" pid="12" name="MSIP_Label_81af44e5-4e25-40be-b437-08fbc55eac1d_Name">
    <vt:lpwstr>OFFICIAL</vt:lpwstr>
  </property>
  <property fmtid="{D5CDD505-2E9C-101B-9397-08002B2CF9AE}" pid="13" name="MSIP_Label_81af44e5-4e25-40be-b437-08fbc55eac1d_SiteId">
    <vt:lpwstr>908d2823-d1bb-45b1-9a09-293dbca1a797</vt:lpwstr>
  </property>
  <property fmtid="{D5CDD505-2E9C-101B-9397-08002B2CF9AE}" pid="14" name="MSIP_Label_81af44e5-4e25-40be-b437-08fbc55eac1d_ActionId">
    <vt:lpwstr>d24839c4-e866-431b-ba16-00b132c52b62</vt:lpwstr>
  </property>
  <property fmtid="{D5CDD505-2E9C-101B-9397-08002B2CF9AE}" pid="15" name="MSIP_Label_81af44e5-4e25-40be-b437-08fbc55eac1d_ContentBits">
    <vt:lpwstr>3</vt:lpwstr>
  </property>
  <property fmtid="{D5CDD505-2E9C-101B-9397-08002B2CF9AE}" pid="16" name="MediaServiceImageTags">
    <vt:lpwstr/>
  </property>
</Properties>
</file>