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6943" w14:textId="77777777" w:rsidR="00C70EAF" w:rsidRPr="00C70EAF" w:rsidRDefault="00C70EAF" w:rsidP="00C70EAF">
      <w:pPr>
        <w:pStyle w:val="Heading2"/>
      </w:pPr>
      <w:r w:rsidRPr="00C70EAF">
        <w:t>How we help trustees</w:t>
      </w:r>
    </w:p>
    <w:p w14:paraId="492DF94B" w14:textId="77777777" w:rsidR="00C70EAF" w:rsidRPr="00C70EAF" w:rsidRDefault="00C70EAF" w:rsidP="00C70EAF">
      <w:pPr>
        <w:pStyle w:val="Heading3"/>
      </w:pPr>
      <w:r w:rsidRPr="00C70EAF">
        <w:t>Official Receiver notices</w:t>
      </w:r>
    </w:p>
    <w:p w14:paraId="03C196CE" w14:textId="3FCF5CAD" w:rsidR="00C70EAF" w:rsidRPr="00C70EAF" w:rsidRDefault="71FCCE06" w:rsidP="45922352">
      <w:r>
        <w:t xml:space="preserve">Official Receiver notices help trustees to gather information or recover assets. The Official Receiver issued </w:t>
      </w:r>
      <w:r w:rsidR="7B8A87EF">
        <w:t>6</w:t>
      </w:r>
      <w:r w:rsidR="00165B71">
        <w:t>31</w:t>
      </w:r>
      <w:r w:rsidR="7B8A87EF">
        <w:t xml:space="preserve"> </w:t>
      </w:r>
      <w:r>
        <w:t>notices in 202</w:t>
      </w:r>
      <w:r w:rsidR="00165B71">
        <w:t>2</w:t>
      </w:r>
      <w:r>
        <w:t>–2</w:t>
      </w:r>
      <w:r w:rsidR="00165B71">
        <w:t>3</w:t>
      </w:r>
      <w:r>
        <w:t xml:space="preserve">. The most common type of notice is s. </w:t>
      </w:r>
      <w:r w:rsidR="1C6CF835">
        <w:t xml:space="preserve">77CA </w:t>
      </w:r>
      <w:r w:rsidR="003B2DCE">
        <w:t>obtain statement of affairs</w:t>
      </w:r>
      <w:r>
        <w:t xml:space="preserve"> (3</w:t>
      </w:r>
      <w:r w:rsidR="79EEB78E">
        <w:t>4</w:t>
      </w:r>
      <w:r>
        <w:t>% of total notices in 202</w:t>
      </w:r>
      <w:r w:rsidR="009564BE">
        <w:t>2</w:t>
      </w:r>
      <w:r>
        <w:t>–2</w:t>
      </w:r>
      <w:r w:rsidR="009564BE">
        <w:t>3</w:t>
      </w:r>
      <w:r>
        <w:t xml:space="preserve">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959"/>
        <w:gridCol w:w="1959"/>
      </w:tblGrid>
      <w:tr w:rsidR="00C70EAF" w:rsidRPr="00CD70A9" w14:paraId="387E2D25" w14:textId="77777777" w:rsidTr="45922352">
        <w:tc>
          <w:tcPr>
            <w:tcW w:w="1696" w:type="dxa"/>
            <w:vAlign w:val="bottom"/>
          </w:tcPr>
          <w:p w14:paraId="34C3072C" w14:textId="77777777" w:rsidR="00C70EAF" w:rsidRPr="00C70EAF" w:rsidRDefault="00C70EAF" w:rsidP="001B3104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Section of the Bankruptcy Act</w:t>
            </w:r>
          </w:p>
        </w:tc>
        <w:tc>
          <w:tcPr>
            <w:tcW w:w="3402" w:type="dxa"/>
            <w:vAlign w:val="bottom"/>
          </w:tcPr>
          <w:p w14:paraId="38F6EE83" w14:textId="77777777" w:rsidR="00C70EAF" w:rsidRPr="00C70EAF" w:rsidRDefault="00C70EAF" w:rsidP="001B3104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Type of statutory notice</w:t>
            </w:r>
          </w:p>
        </w:tc>
        <w:tc>
          <w:tcPr>
            <w:tcW w:w="1959" w:type="dxa"/>
            <w:vAlign w:val="bottom"/>
          </w:tcPr>
          <w:p w14:paraId="135EECEF" w14:textId="36BCD887" w:rsidR="45922352" w:rsidRDefault="45922352" w:rsidP="45922352">
            <w:pPr>
              <w:rPr>
                <w:rFonts w:ascii="Calibri" w:hAnsi="Calibri"/>
                <w:color w:val="000000" w:themeColor="text1"/>
              </w:rPr>
            </w:pPr>
            <w:r w:rsidRPr="45922352">
              <w:rPr>
                <w:rFonts w:ascii="Calibri" w:hAnsi="Calibri"/>
                <w:color w:val="000000" w:themeColor="text1"/>
              </w:rPr>
              <w:t>Number of notices issued: 202</w:t>
            </w:r>
            <w:r w:rsidR="00CE07AF">
              <w:rPr>
                <w:rFonts w:ascii="Calibri" w:hAnsi="Calibri"/>
                <w:color w:val="000000" w:themeColor="text1"/>
              </w:rPr>
              <w:t>1</w:t>
            </w:r>
            <w:r w:rsidRPr="45922352">
              <w:rPr>
                <w:rFonts w:ascii="Calibri" w:hAnsi="Calibri"/>
                <w:color w:val="000000" w:themeColor="text1"/>
              </w:rPr>
              <w:t>–2</w:t>
            </w:r>
            <w:r w:rsidR="00CE07AF">
              <w:rPr>
                <w:rFonts w:ascii="Calibri" w:hAnsi="Calibri"/>
                <w:color w:val="000000" w:themeColor="text1"/>
              </w:rPr>
              <w:t>2</w:t>
            </w:r>
          </w:p>
        </w:tc>
        <w:tc>
          <w:tcPr>
            <w:tcW w:w="1959" w:type="dxa"/>
          </w:tcPr>
          <w:p w14:paraId="624CD46C" w14:textId="29B05C2E" w:rsidR="00C70EAF" w:rsidRPr="00C70EAF" w:rsidRDefault="71FCCE06" w:rsidP="001B3104">
            <w:pPr>
              <w:rPr>
                <w:rFonts w:ascii="Calibri" w:hAnsi="Calibri"/>
                <w:color w:val="000000"/>
              </w:rPr>
            </w:pPr>
            <w:r w:rsidRPr="45922352">
              <w:rPr>
                <w:rFonts w:ascii="Calibri" w:hAnsi="Calibri"/>
                <w:color w:val="000000" w:themeColor="text1"/>
              </w:rPr>
              <w:t>Number of notices issued: 202</w:t>
            </w:r>
            <w:r w:rsidR="00CE07AF">
              <w:rPr>
                <w:rFonts w:ascii="Calibri" w:hAnsi="Calibri"/>
                <w:color w:val="000000" w:themeColor="text1"/>
              </w:rPr>
              <w:t>2</w:t>
            </w:r>
            <w:r w:rsidRPr="45922352">
              <w:rPr>
                <w:rFonts w:ascii="Calibri" w:hAnsi="Calibri"/>
                <w:color w:val="000000" w:themeColor="text1"/>
              </w:rPr>
              <w:t>–2</w:t>
            </w:r>
            <w:r w:rsidR="00CE07AF">
              <w:rPr>
                <w:rFonts w:ascii="Calibri" w:hAnsi="Calibri"/>
                <w:color w:val="000000" w:themeColor="text1"/>
              </w:rPr>
              <w:t>3</w:t>
            </w:r>
          </w:p>
        </w:tc>
      </w:tr>
      <w:tr w:rsidR="00CE07AF" w:rsidRPr="00CD70A9" w14:paraId="7C89DF8C" w14:textId="77777777" w:rsidTr="45922352">
        <w:tc>
          <w:tcPr>
            <w:tcW w:w="1696" w:type="dxa"/>
          </w:tcPr>
          <w:p w14:paraId="5B96AC39" w14:textId="77777777" w:rsidR="00CE07AF" w:rsidRPr="00C70EAF" w:rsidRDefault="00CE07AF" w:rsidP="00CE07AF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 xml:space="preserve">s. 77AA </w:t>
            </w:r>
          </w:p>
        </w:tc>
        <w:tc>
          <w:tcPr>
            <w:tcW w:w="3402" w:type="dxa"/>
          </w:tcPr>
          <w:p w14:paraId="3E59E0FF" w14:textId="77777777" w:rsidR="00CE07AF" w:rsidRPr="00C70EAF" w:rsidRDefault="00CE07AF" w:rsidP="00CE07AF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Access by Official Receiver and others to premises</w:t>
            </w:r>
          </w:p>
        </w:tc>
        <w:tc>
          <w:tcPr>
            <w:tcW w:w="1959" w:type="dxa"/>
          </w:tcPr>
          <w:p w14:paraId="2D64C730" w14:textId="105E1D60" w:rsidR="00CE07AF" w:rsidRDefault="00CE07AF" w:rsidP="00CE07A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45922352">
              <w:rPr>
                <w:rFonts w:ascii="Calibri" w:hAnsi="Calibri"/>
                <w:color w:val="000000" w:themeColor="text1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14:paraId="7F47B223" w14:textId="02317A67" w:rsidR="00CE07AF" w:rsidRPr="00C70EAF" w:rsidRDefault="007F281C" w:rsidP="00CE07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CE07AF" w:rsidRPr="00CD70A9" w14:paraId="21743DF1" w14:textId="77777777" w:rsidTr="45922352">
        <w:tc>
          <w:tcPr>
            <w:tcW w:w="1696" w:type="dxa"/>
          </w:tcPr>
          <w:p w14:paraId="5052015C" w14:textId="77777777" w:rsidR="00CE07AF" w:rsidRPr="00C70EAF" w:rsidRDefault="00CE07AF" w:rsidP="00CE07AF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 xml:space="preserve">s. 77C </w:t>
            </w:r>
          </w:p>
        </w:tc>
        <w:tc>
          <w:tcPr>
            <w:tcW w:w="3402" w:type="dxa"/>
          </w:tcPr>
          <w:p w14:paraId="750AF7DE" w14:textId="77777777" w:rsidR="00CE07AF" w:rsidRPr="00C70EAF" w:rsidRDefault="00CE07AF" w:rsidP="00CE07AF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Obtain information and evidence</w:t>
            </w:r>
          </w:p>
        </w:tc>
        <w:tc>
          <w:tcPr>
            <w:tcW w:w="1959" w:type="dxa"/>
          </w:tcPr>
          <w:p w14:paraId="1863A2CB" w14:textId="716C1266" w:rsidR="00CE07AF" w:rsidRDefault="00CE07AF" w:rsidP="00CE07A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45922352">
              <w:rPr>
                <w:rFonts w:ascii="Calibri" w:hAnsi="Calibri"/>
                <w:color w:val="000000" w:themeColor="text1"/>
              </w:rPr>
              <w:t>194</w:t>
            </w:r>
          </w:p>
        </w:tc>
        <w:tc>
          <w:tcPr>
            <w:tcW w:w="1959" w:type="dxa"/>
            <w:shd w:val="clear" w:color="auto" w:fill="auto"/>
          </w:tcPr>
          <w:p w14:paraId="1CD7E4E1" w14:textId="23897652" w:rsidR="00CE07AF" w:rsidRPr="00C70EAF" w:rsidRDefault="003A5A93" w:rsidP="00CE07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</w:t>
            </w:r>
          </w:p>
        </w:tc>
      </w:tr>
      <w:tr w:rsidR="00CE07AF" w:rsidRPr="00CD70A9" w14:paraId="53FE6D83" w14:textId="77777777" w:rsidTr="45922352">
        <w:tc>
          <w:tcPr>
            <w:tcW w:w="1696" w:type="dxa"/>
          </w:tcPr>
          <w:p w14:paraId="037914DB" w14:textId="77777777" w:rsidR="00CE07AF" w:rsidRPr="00C70EAF" w:rsidRDefault="00CE07AF" w:rsidP="00CE07AF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s. 77CA</w:t>
            </w:r>
          </w:p>
        </w:tc>
        <w:tc>
          <w:tcPr>
            <w:tcW w:w="3402" w:type="dxa"/>
          </w:tcPr>
          <w:p w14:paraId="5721C1EA" w14:textId="77777777" w:rsidR="00CE07AF" w:rsidRPr="00C70EAF" w:rsidRDefault="00CE07AF" w:rsidP="00CE07AF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Obtain statement of affairs</w:t>
            </w:r>
          </w:p>
        </w:tc>
        <w:tc>
          <w:tcPr>
            <w:tcW w:w="1959" w:type="dxa"/>
          </w:tcPr>
          <w:p w14:paraId="4703851C" w14:textId="6B7726CF" w:rsidR="00CE07AF" w:rsidRDefault="00CE07AF" w:rsidP="00CE07A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45922352">
              <w:rPr>
                <w:rFonts w:ascii="Calibri" w:hAnsi="Calibri"/>
                <w:color w:val="000000" w:themeColor="text1"/>
              </w:rPr>
              <w:t>225</w:t>
            </w:r>
          </w:p>
        </w:tc>
        <w:tc>
          <w:tcPr>
            <w:tcW w:w="1959" w:type="dxa"/>
            <w:shd w:val="clear" w:color="auto" w:fill="auto"/>
          </w:tcPr>
          <w:p w14:paraId="6F5CBE53" w14:textId="6105FACF" w:rsidR="00CE07AF" w:rsidRPr="00C70EAF" w:rsidRDefault="002701AB" w:rsidP="00CE07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</w:t>
            </w:r>
          </w:p>
        </w:tc>
      </w:tr>
      <w:tr w:rsidR="00CE07AF" w:rsidRPr="00CD70A9" w14:paraId="33325BA9" w14:textId="77777777" w:rsidTr="45922352">
        <w:tc>
          <w:tcPr>
            <w:tcW w:w="1696" w:type="dxa"/>
          </w:tcPr>
          <w:p w14:paraId="62BC2210" w14:textId="77777777" w:rsidR="00CE07AF" w:rsidRPr="00C70EAF" w:rsidRDefault="00CE07AF" w:rsidP="00CE07AF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s. 81A</w:t>
            </w:r>
          </w:p>
        </w:tc>
        <w:tc>
          <w:tcPr>
            <w:tcW w:w="3402" w:type="dxa"/>
          </w:tcPr>
          <w:p w14:paraId="6673BA18" w14:textId="77777777" w:rsidR="00CE07AF" w:rsidRPr="00C70EAF" w:rsidRDefault="00CE07AF" w:rsidP="00CE07AF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Offshore information notices</w:t>
            </w:r>
          </w:p>
        </w:tc>
        <w:tc>
          <w:tcPr>
            <w:tcW w:w="1959" w:type="dxa"/>
          </w:tcPr>
          <w:p w14:paraId="271EE892" w14:textId="31DAE5F7" w:rsidR="00CE07AF" w:rsidRDefault="00CE07AF" w:rsidP="00CE07A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45922352">
              <w:rPr>
                <w:rFonts w:ascii="Calibri" w:hAnsi="Calibri"/>
                <w:color w:val="000000" w:themeColor="text1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14:paraId="0ABA96A8" w14:textId="0F84EE91" w:rsidR="00CE07AF" w:rsidRPr="00C70EAF" w:rsidRDefault="00217B2C" w:rsidP="00CE07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CE07AF" w:rsidRPr="00CD70A9" w14:paraId="3902B01E" w14:textId="77777777" w:rsidTr="45922352">
        <w:tc>
          <w:tcPr>
            <w:tcW w:w="1696" w:type="dxa"/>
          </w:tcPr>
          <w:p w14:paraId="2DF34351" w14:textId="77777777" w:rsidR="00CE07AF" w:rsidRPr="00C70EAF" w:rsidRDefault="00CE07AF" w:rsidP="00CE07AF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s. 128E</w:t>
            </w:r>
          </w:p>
        </w:tc>
        <w:tc>
          <w:tcPr>
            <w:tcW w:w="3402" w:type="dxa"/>
          </w:tcPr>
          <w:p w14:paraId="686A3F3F" w14:textId="77777777" w:rsidR="00CE07AF" w:rsidRPr="00C70EAF" w:rsidRDefault="00CE07AF" w:rsidP="00CE07AF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Freeze interest in super</w:t>
            </w:r>
          </w:p>
        </w:tc>
        <w:tc>
          <w:tcPr>
            <w:tcW w:w="1959" w:type="dxa"/>
          </w:tcPr>
          <w:p w14:paraId="3F92EE38" w14:textId="7CDA75C5" w:rsidR="00CE07AF" w:rsidRDefault="00CE07AF" w:rsidP="00CE07A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45922352">
              <w:rPr>
                <w:rFonts w:ascii="Calibri" w:hAnsi="Calibri"/>
                <w:color w:val="000000" w:themeColor="text1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14:paraId="301BE3E6" w14:textId="79C0DDDB" w:rsidR="00CE07AF" w:rsidRPr="00C70EAF" w:rsidRDefault="00217B2C" w:rsidP="00CE07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CE07AF" w:rsidRPr="00CD70A9" w14:paraId="6852F8D2" w14:textId="77777777" w:rsidTr="45922352">
        <w:tc>
          <w:tcPr>
            <w:tcW w:w="1696" w:type="dxa"/>
          </w:tcPr>
          <w:p w14:paraId="372B4644" w14:textId="77777777" w:rsidR="00CE07AF" w:rsidRPr="00C70EAF" w:rsidRDefault="00CE07AF" w:rsidP="00CE07AF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s. 139ZQ</w:t>
            </w:r>
          </w:p>
        </w:tc>
        <w:tc>
          <w:tcPr>
            <w:tcW w:w="3402" w:type="dxa"/>
          </w:tcPr>
          <w:p w14:paraId="1233709A" w14:textId="77777777" w:rsidR="00CE07AF" w:rsidRPr="00C70EAF" w:rsidRDefault="00CE07AF" w:rsidP="00CE07AF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Notice requiring payment following void transaction</w:t>
            </w:r>
          </w:p>
        </w:tc>
        <w:tc>
          <w:tcPr>
            <w:tcW w:w="1959" w:type="dxa"/>
          </w:tcPr>
          <w:p w14:paraId="7ED38601" w14:textId="6352EFF8" w:rsidR="00CE07AF" w:rsidRDefault="00CE07AF" w:rsidP="00CE07A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45922352">
              <w:rPr>
                <w:rFonts w:ascii="Calibri" w:hAnsi="Calibri"/>
                <w:color w:val="000000" w:themeColor="text1"/>
              </w:rPr>
              <w:t>54</w:t>
            </w:r>
          </w:p>
        </w:tc>
        <w:tc>
          <w:tcPr>
            <w:tcW w:w="1959" w:type="dxa"/>
            <w:shd w:val="clear" w:color="auto" w:fill="auto"/>
          </w:tcPr>
          <w:p w14:paraId="1DC9F89A" w14:textId="76339432" w:rsidR="00CE07AF" w:rsidRPr="00C70EAF" w:rsidRDefault="00AD0EE8" w:rsidP="00CE07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B710EC">
              <w:rPr>
                <w:rFonts w:ascii="Calibri" w:hAnsi="Calibri"/>
                <w:color w:val="000000"/>
              </w:rPr>
              <w:t>2</w:t>
            </w:r>
          </w:p>
        </w:tc>
      </w:tr>
      <w:tr w:rsidR="00CE07AF" w:rsidRPr="00CD70A9" w14:paraId="74FAB545" w14:textId="77777777" w:rsidTr="45922352">
        <w:tc>
          <w:tcPr>
            <w:tcW w:w="1696" w:type="dxa"/>
          </w:tcPr>
          <w:p w14:paraId="52207810" w14:textId="77777777" w:rsidR="00CE07AF" w:rsidRPr="00C70EAF" w:rsidRDefault="00CE07AF" w:rsidP="00CE07AF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s. 139ZL</w:t>
            </w:r>
          </w:p>
        </w:tc>
        <w:tc>
          <w:tcPr>
            <w:tcW w:w="3402" w:type="dxa"/>
          </w:tcPr>
          <w:p w14:paraId="42AAED9B" w14:textId="77777777" w:rsidR="00CE07AF" w:rsidRPr="00C70EAF" w:rsidRDefault="00CE07AF" w:rsidP="00CE07AF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Payment of contribution liability</w:t>
            </w:r>
          </w:p>
        </w:tc>
        <w:tc>
          <w:tcPr>
            <w:tcW w:w="1959" w:type="dxa"/>
          </w:tcPr>
          <w:p w14:paraId="2F2C980E" w14:textId="7591449E" w:rsidR="00CE07AF" w:rsidRDefault="00CE07AF" w:rsidP="00CE07A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45922352">
              <w:rPr>
                <w:rFonts w:ascii="Calibri" w:hAnsi="Calibri"/>
                <w:color w:val="000000" w:themeColor="text1"/>
              </w:rPr>
              <w:t>190</w:t>
            </w:r>
          </w:p>
        </w:tc>
        <w:tc>
          <w:tcPr>
            <w:tcW w:w="1959" w:type="dxa"/>
            <w:shd w:val="clear" w:color="auto" w:fill="auto"/>
          </w:tcPr>
          <w:p w14:paraId="2E5E5BF6" w14:textId="0D7C3593" w:rsidR="00CE07AF" w:rsidRPr="00C70EAF" w:rsidRDefault="00B710EC" w:rsidP="00CE07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</w:t>
            </w:r>
          </w:p>
        </w:tc>
      </w:tr>
      <w:tr w:rsidR="00CE07AF" w:rsidRPr="00CD70A9" w14:paraId="15D34F4B" w14:textId="77777777" w:rsidTr="45922352">
        <w:tc>
          <w:tcPr>
            <w:tcW w:w="1696" w:type="dxa"/>
          </w:tcPr>
          <w:p w14:paraId="51090E27" w14:textId="77777777" w:rsidR="00CE07AF" w:rsidRPr="00C70EAF" w:rsidRDefault="00CE07AF" w:rsidP="00CE07AF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s. 139ZR</w:t>
            </w:r>
          </w:p>
        </w:tc>
        <w:tc>
          <w:tcPr>
            <w:tcW w:w="3402" w:type="dxa"/>
          </w:tcPr>
          <w:p w14:paraId="6370D232" w14:textId="77777777" w:rsidR="00CE07AF" w:rsidRPr="00C70EAF" w:rsidRDefault="00CE07AF" w:rsidP="00CE07AF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Charge over property</w:t>
            </w:r>
          </w:p>
        </w:tc>
        <w:tc>
          <w:tcPr>
            <w:tcW w:w="1959" w:type="dxa"/>
          </w:tcPr>
          <w:p w14:paraId="6FA89BC7" w14:textId="2F1D1419" w:rsidR="00CE07AF" w:rsidRDefault="00CE07AF" w:rsidP="00CE07A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45922352">
              <w:rPr>
                <w:rFonts w:ascii="Calibri" w:hAnsi="Calibri"/>
                <w:color w:val="000000" w:themeColor="text1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14:paraId="05F15194" w14:textId="1CA89F9E" w:rsidR="00CE07AF" w:rsidRPr="00C70EAF" w:rsidRDefault="00DE7E9D" w:rsidP="00CE07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796DD5" w:rsidRPr="00CD70A9" w14:paraId="050EC79B" w14:textId="77777777" w:rsidTr="45922352">
        <w:tc>
          <w:tcPr>
            <w:tcW w:w="1696" w:type="dxa"/>
          </w:tcPr>
          <w:p w14:paraId="1D0C1AEE" w14:textId="0AC4E7E2" w:rsidR="00796DD5" w:rsidRPr="00872C4E" w:rsidRDefault="00796DD5" w:rsidP="00CE07AF">
            <w:pPr>
              <w:rPr>
                <w:rFonts w:ascii="Calibri" w:hAnsi="Calibri"/>
                <w:color w:val="000000"/>
              </w:rPr>
            </w:pPr>
            <w:r w:rsidRPr="00872C4E">
              <w:rPr>
                <w:rFonts w:ascii="Calibri" w:hAnsi="Calibri"/>
                <w:color w:val="000000"/>
              </w:rPr>
              <w:t>s. 139Z</w:t>
            </w:r>
            <w:r w:rsidR="0077326E" w:rsidRPr="00872C4E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402" w:type="dxa"/>
          </w:tcPr>
          <w:p w14:paraId="7471EC2F" w14:textId="407932C9" w:rsidR="00796DD5" w:rsidRPr="00872C4E" w:rsidRDefault="0077326E" w:rsidP="00CE07AF">
            <w:pPr>
              <w:rPr>
                <w:rFonts w:ascii="Calibri" w:hAnsi="Calibri"/>
                <w:color w:val="000000"/>
              </w:rPr>
            </w:pPr>
            <w:r w:rsidRPr="00872C4E">
              <w:rPr>
                <w:rFonts w:ascii="Calibri" w:hAnsi="Calibri"/>
                <w:color w:val="000000"/>
              </w:rPr>
              <w:t>Certificate</w:t>
            </w:r>
            <w:r w:rsidR="004010E9" w:rsidRPr="00872C4E">
              <w:rPr>
                <w:rFonts w:ascii="Calibri" w:hAnsi="Calibri"/>
                <w:color w:val="000000"/>
              </w:rPr>
              <w:t xml:space="preserve"> to </w:t>
            </w:r>
            <w:r w:rsidR="00872C4E">
              <w:rPr>
                <w:rFonts w:ascii="Calibri" w:hAnsi="Calibri"/>
                <w:color w:val="000000"/>
              </w:rPr>
              <w:t>c</w:t>
            </w:r>
            <w:r w:rsidR="004010E9" w:rsidRPr="00872C4E">
              <w:rPr>
                <w:rFonts w:ascii="Calibri" w:hAnsi="Calibri"/>
                <w:color w:val="000000"/>
              </w:rPr>
              <w:t xml:space="preserve">harge </w:t>
            </w:r>
            <w:r w:rsidR="00872C4E" w:rsidRPr="00872C4E">
              <w:rPr>
                <w:rFonts w:ascii="Calibri" w:hAnsi="Calibri"/>
                <w:color w:val="000000"/>
              </w:rPr>
              <w:t xml:space="preserve">over </w:t>
            </w:r>
            <w:r w:rsidR="00E86FBF" w:rsidRPr="00872C4E">
              <w:rPr>
                <w:rFonts w:ascii="Calibri" w:hAnsi="Calibri"/>
                <w:color w:val="000000"/>
              </w:rPr>
              <w:t>property</w:t>
            </w:r>
          </w:p>
        </w:tc>
        <w:tc>
          <w:tcPr>
            <w:tcW w:w="1959" w:type="dxa"/>
          </w:tcPr>
          <w:p w14:paraId="517EAB1A" w14:textId="358950EF" w:rsidR="00796DD5" w:rsidRPr="45922352" w:rsidRDefault="0077326E" w:rsidP="00CE07AF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1959" w:type="dxa"/>
            <w:shd w:val="clear" w:color="auto" w:fill="auto"/>
          </w:tcPr>
          <w:p w14:paraId="0376F12C" w14:textId="6FF2BA06" w:rsidR="00796DD5" w:rsidRPr="00C70EAF" w:rsidRDefault="0077326E" w:rsidP="00CE07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CE07AF" w:rsidRPr="00CD70A9" w14:paraId="212C952C" w14:textId="77777777" w:rsidTr="45922352">
        <w:tc>
          <w:tcPr>
            <w:tcW w:w="1696" w:type="dxa"/>
          </w:tcPr>
          <w:p w14:paraId="6695B062" w14:textId="77777777" w:rsidR="00CE07AF" w:rsidRPr="00C70EAF" w:rsidRDefault="00CE07AF" w:rsidP="00CE07AF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Total</w:t>
            </w:r>
          </w:p>
        </w:tc>
        <w:tc>
          <w:tcPr>
            <w:tcW w:w="3402" w:type="dxa"/>
          </w:tcPr>
          <w:p w14:paraId="179C8C07" w14:textId="77777777" w:rsidR="00CE07AF" w:rsidRPr="00C70EAF" w:rsidRDefault="00CE07AF" w:rsidP="00CE07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9" w:type="dxa"/>
          </w:tcPr>
          <w:p w14:paraId="79D25322" w14:textId="43CE300B" w:rsidR="00CE07AF" w:rsidRDefault="00CE07AF" w:rsidP="00CE07AF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45922352">
              <w:rPr>
                <w:rFonts w:ascii="Calibri" w:hAnsi="Calibri"/>
                <w:color w:val="000000" w:themeColor="text1"/>
              </w:rPr>
              <w:t>670</w:t>
            </w:r>
          </w:p>
        </w:tc>
        <w:tc>
          <w:tcPr>
            <w:tcW w:w="1959" w:type="dxa"/>
            <w:shd w:val="clear" w:color="auto" w:fill="auto"/>
          </w:tcPr>
          <w:p w14:paraId="09DDE87C" w14:textId="0ACB762C" w:rsidR="00CE07AF" w:rsidRPr="00C70EAF" w:rsidRDefault="00177524" w:rsidP="00CE07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631</w:t>
            </w:r>
          </w:p>
        </w:tc>
      </w:tr>
    </w:tbl>
    <w:p w14:paraId="46636E55" w14:textId="77777777" w:rsidR="00C70EAF" w:rsidRPr="00CD70A9" w:rsidRDefault="00C70EAF" w:rsidP="00C70EAF">
      <w:pPr>
        <w:rPr>
          <w:highlight w:val="yellow"/>
        </w:rPr>
      </w:pPr>
    </w:p>
    <w:p w14:paraId="6F8C994E" w14:textId="77777777" w:rsidR="00C70EAF" w:rsidRPr="00C70EAF" w:rsidRDefault="00C70EAF" w:rsidP="00C70EAF">
      <w:pPr>
        <w:pStyle w:val="Heading3"/>
      </w:pPr>
      <w:r w:rsidRPr="00C70EAF">
        <w:t>Commonwealth funding assistance</w:t>
      </w:r>
    </w:p>
    <w:p w14:paraId="7FE22AC9" w14:textId="77777777" w:rsidR="00C70EAF" w:rsidRPr="00C70EAF" w:rsidRDefault="00C70EAF" w:rsidP="00C70EAF">
      <w:r w:rsidRPr="00C70EAF">
        <w:t xml:space="preserve">Section 305 of the Bankruptcy Act allows the Commonwealth to underwrite the cost of proceedings or enquiries about the estate or the examinable affairs of a bankrupt or personal insolvency agreement debtor. Further information on this is available in our </w:t>
      </w:r>
      <w:hyperlink r:id="rId9" w:history="1">
        <w:r w:rsidRPr="00C70EAF">
          <w:rPr>
            <w:rStyle w:val="Hyperlink"/>
          </w:rPr>
          <w:t>guide</w:t>
        </w:r>
      </w:hyperlink>
      <w:r w:rsidRPr="00C70EAF">
        <w:t>.</w:t>
      </w:r>
    </w:p>
    <w:p w14:paraId="22905F20" w14:textId="69E9F2CE" w:rsidR="00C70EAF" w:rsidRPr="00C70EAF" w:rsidRDefault="71FCCE06" w:rsidP="45922352">
      <w:pPr>
        <w:rPr>
          <w:rFonts w:ascii="Calibri" w:hAnsi="Calibri"/>
          <w:color w:val="000000"/>
          <w:lang w:eastAsia="en-AU"/>
        </w:rPr>
      </w:pPr>
      <w:r>
        <w:t>In 202</w:t>
      </w:r>
      <w:r w:rsidR="000F6185">
        <w:t>2</w:t>
      </w:r>
      <w:r>
        <w:t>–2</w:t>
      </w:r>
      <w:r w:rsidR="000F6185">
        <w:t>3</w:t>
      </w:r>
      <w:r>
        <w:t xml:space="preserve">, there were </w:t>
      </w:r>
      <w:r w:rsidR="000F6185">
        <w:t>8</w:t>
      </w:r>
      <w:r>
        <w:t xml:space="preserve"> applications for Commonwealth funding assistance approved, with </w:t>
      </w:r>
      <w:r w:rsidRPr="45922352">
        <w:rPr>
          <w:rFonts w:ascii="Calibri" w:hAnsi="Calibri"/>
          <w:color w:val="000000" w:themeColor="text1"/>
        </w:rPr>
        <w:t>$</w:t>
      </w:r>
      <w:r w:rsidR="00064D3E">
        <w:rPr>
          <w:rFonts w:ascii="Calibri" w:hAnsi="Calibri"/>
          <w:color w:val="000000" w:themeColor="text1"/>
        </w:rPr>
        <w:t>120</w:t>
      </w:r>
      <w:r w:rsidRPr="45922352">
        <w:rPr>
          <w:rFonts w:ascii="Calibri" w:hAnsi="Calibri"/>
          <w:color w:val="000000" w:themeColor="text1"/>
        </w:rPr>
        <w:t>,</w:t>
      </w:r>
      <w:r w:rsidR="2F2291E8" w:rsidRPr="45922352">
        <w:rPr>
          <w:rFonts w:ascii="Calibri" w:hAnsi="Calibri"/>
          <w:color w:val="000000" w:themeColor="text1"/>
        </w:rPr>
        <w:t>9</w:t>
      </w:r>
      <w:r w:rsidR="00064D3E">
        <w:rPr>
          <w:rFonts w:ascii="Calibri" w:hAnsi="Calibri"/>
          <w:color w:val="000000" w:themeColor="text1"/>
        </w:rPr>
        <w:t>50</w:t>
      </w:r>
      <w:r w:rsidRPr="45922352">
        <w:rPr>
          <w:rFonts w:ascii="Calibri" w:hAnsi="Calibri"/>
          <w:color w:val="000000" w:themeColor="text1"/>
        </w:rPr>
        <w:t xml:space="preserve"> underwritten.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660"/>
        <w:gridCol w:w="2865"/>
        <w:gridCol w:w="2491"/>
      </w:tblGrid>
      <w:tr w:rsidR="00C70EAF" w:rsidRPr="00C70EAF" w14:paraId="54A65F1A" w14:textId="77777777" w:rsidTr="23C7E752">
        <w:tc>
          <w:tcPr>
            <w:tcW w:w="3660" w:type="dxa"/>
            <w:shd w:val="clear" w:color="auto" w:fill="auto"/>
            <w:vAlign w:val="bottom"/>
          </w:tcPr>
          <w:p w14:paraId="179E1D14" w14:textId="77777777" w:rsidR="00C70EAF" w:rsidRPr="00C70EAF" w:rsidRDefault="00C70EAF" w:rsidP="001B3104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65" w:type="dxa"/>
            <w:vAlign w:val="bottom"/>
          </w:tcPr>
          <w:p w14:paraId="567D5864" w14:textId="1AD1C2BB" w:rsidR="45922352" w:rsidRDefault="45922352" w:rsidP="45922352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45922352">
              <w:rPr>
                <w:rFonts w:ascii="Calibri" w:hAnsi="Calibri"/>
                <w:color w:val="000000" w:themeColor="text1"/>
              </w:rPr>
              <w:t>202</w:t>
            </w:r>
            <w:r w:rsidR="007041CE">
              <w:rPr>
                <w:rFonts w:ascii="Calibri" w:hAnsi="Calibri"/>
                <w:color w:val="000000" w:themeColor="text1"/>
              </w:rPr>
              <w:t>1</w:t>
            </w:r>
            <w:r w:rsidRPr="45922352">
              <w:rPr>
                <w:rFonts w:ascii="Calibri" w:hAnsi="Calibri"/>
                <w:color w:val="000000" w:themeColor="text1"/>
              </w:rPr>
              <w:t>–2</w:t>
            </w:r>
            <w:r w:rsidR="007041CE">
              <w:rPr>
                <w:rFonts w:ascii="Calibri" w:hAnsi="Calibri"/>
                <w:color w:val="000000" w:themeColor="text1"/>
              </w:rPr>
              <w:t>2</w:t>
            </w:r>
          </w:p>
        </w:tc>
        <w:tc>
          <w:tcPr>
            <w:tcW w:w="2491" w:type="dxa"/>
            <w:shd w:val="clear" w:color="auto" w:fill="auto"/>
            <w:vAlign w:val="bottom"/>
          </w:tcPr>
          <w:p w14:paraId="2EDC4DEE" w14:textId="56F6522E" w:rsidR="00C70EAF" w:rsidRPr="00C70EAF" w:rsidRDefault="71FCCE06" w:rsidP="001B3104">
            <w:pPr>
              <w:jc w:val="right"/>
              <w:rPr>
                <w:rFonts w:ascii="Calibri" w:hAnsi="Calibri"/>
                <w:color w:val="000000"/>
              </w:rPr>
            </w:pPr>
            <w:r w:rsidRPr="45922352">
              <w:rPr>
                <w:rFonts w:ascii="Calibri" w:hAnsi="Calibri"/>
                <w:color w:val="000000" w:themeColor="text1"/>
              </w:rPr>
              <w:t>202</w:t>
            </w:r>
            <w:r w:rsidR="007041CE">
              <w:rPr>
                <w:rFonts w:ascii="Calibri" w:hAnsi="Calibri"/>
                <w:color w:val="000000" w:themeColor="text1"/>
              </w:rPr>
              <w:t>2</w:t>
            </w:r>
            <w:r w:rsidRPr="45922352">
              <w:rPr>
                <w:rFonts w:ascii="Calibri" w:hAnsi="Calibri"/>
                <w:color w:val="000000" w:themeColor="text1"/>
              </w:rPr>
              <w:t>–2</w:t>
            </w:r>
            <w:r w:rsidR="007041CE">
              <w:rPr>
                <w:rFonts w:ascii="Calibri" w:hAnsi="Calibri"/>
                <w:color w:val="000000" w:themeColor="text1"/>
              </w:rPr>
              <w:t>3</w:t>
            </w:r>
          </w:p>
        </w:tc>
      </w:tr>
      <w:tr w:rsidR="00204D17" w:rsidRPr="00C70EAF" w14:paraId="51978BDB" w14:textId="77777777" w:rsidTr="23C7E752">
        <w:tc>
          <w:tcPr>
            <w:tcW w:w="3660" w:type="dxa"/>
            <w:shd w:val="clear" w:color="auto" w:fill="auto"/>
            <w:vAlign w:val="bottom"/>
          </w:tcPr>
          <w:p w14:paraId="0D9B58C4" w14:textId="77777777" w:rsidR="00204D17" w:rsidRPr="00C70EAF" w:rsidRDefault="00204D17" w:rsidP="00204D17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Number of applications received</w:t>
            </w:r>
          </w:p>
        </w:tc>
        <w:tc>
          <w:tcPr>
            <w:tcW w:w="2865" w:type="dxa"/>
            <w:vAlign w:val="bottom"/>
          </w:tcPr>
          <w:p w14:paraId="6EE93E8F" w14:textId="40D5F410" w:rsidR="00204D17" w:rsidRDefault="00204D17" w:rsidP="00204D17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45922352">
              <w:rPr>
                <w:rFonts w:ascii="Calibri" w:hAnsi="Calibri"/>
                <w:color w:val="000000" w:themeColor="text1"/>
              </w:rPr>
              <w:t>11</w:t>
            </w:r>
          </w:p>
        </w:tc>
        <w:tc>
          <w:tcPr>
            <w:tcW w:w="2491" w:type="dxa"/>
            <w:shd w:val="clear" w:color="auto" w:fill="auto"/>
            <w:vAlign w:val="bottom"/>
          </w:tcPr>
          <w:p w14:paraId="40A69464" w14:textId="52DF87CB" w:rsidR="00204D17" w:rsidRPr="00C70EAF" w:rsidRDefault="006B2241" w:rsidP="00204D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204D17" w:rsidRPr="00C70EAF" w14:paraId="2CFFC954" w14:textId="77777777" w:rsidTr="23C7E752">
        <w:tc>
          <w:tcPr>
            <w:tcW w:w="3660" w:type="dxa"/>
            <w:shd w:val="clear" w:color="auto" w:fill="auto"/>
            <w:vAlign w:val="bottom"/>
          </w:tcPr>
          <w:p w14:paraId="3DDD2DFF" w14:textId="77777777" w:rsidR="00204D17" w:rsidRPr="00C70EAF" w:rsidRDefault="00204D17" w:rsidP="00204D17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Number of applications approved*</w:t>
            </w:r>
          </w:p>
        </w:tc>
        <w:tc>
          <w:tcPr>
            <w:tcW w:w="2865" w:type="dxa"/>
            <w:vAlign w:val="bottom"/>
          </w:tcPr>
          <w:p w14:paraId="3211344C" w14:textId="1C1BEFFD" w:rsidR="00204D17" w:rsidRDefault="00204D17" w:rsidP="00204D17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45922352">
              <w:rPr>
                <w:rFonts w:ascii="Calibri" w:hAnsi="Calibri"/>
                <w:color w:val="000000" w:themeColor="text1"/>
              </w:rPr>
              <w:t>12</w:t>
            </w:r>
          </w:p>
        </w:tc>
        <w:tc>
          <w:tcPr>
            <w:tcW w:w="2491" w:type="dxa"/>
            <w:shd w:val="clear" w:color="auto" w:fill="auto"/>
            <w:vAlign w:val="bottom"/>
          </w:tcPr>
          <w:p w14:paraId="7E15FFB5" w14:textId="646960B1" w:rsidR="00204D17" w:rsidRPr="00C70EAF" w:rsidRDefault="006B2241" w:rsidP="00204D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0F6185" w:rsidRPr="00C70EAF" w14:paraId="49204DD3" w14:textId="77777777" w:rsidTr="23C7E752">
        <w:tc>
          <w:tcPr>
            <w:tcW w:w="3660" w:type="dxa"/>
            <w:shd w:val="clear" w:color="auto" w:fill="auto"/>
            <w:vAlign w:val="bottom"/>
          </w:tcPr>
          <w:p w14:paraId="6BDB57AE" w14:textId="77777777" w:rsidR="000F6185" w:rsidRPr="00C70EAF" w:rsidRDefault="000F6185" w:rsidP="000F6185">
            <w:pPr>
              <w:rPr>
                <w:rFonts w:ascii="Calibri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Amount underwritten ($)</w:t>
            </w:r>
          </w:p>
        </w:tc>
        <w:tc>
          <w:tcPr>
            <w:tcW w:w="2865" w:type="dxa"/>
            <w:vAlign w:val="bottom"/>
          </w:tcPr>
          <w:p w14:paraId="6355AB03" w14:textId="053674B9" w:rsidR="000F6185" w:rsidRDefault="000F6185" w:rsidP="000F618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45922352">
              <w:rPr>
                <w:rFonts w:ascii="Calibri" w:hAnsi="Calibri"/>
                <w:color w:val="000000" w:themeColor="text1"/>
              </w:rPr>
              <w:t>$42,905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BC113C5" w14:textId="01812F31" w:rsidR="000F6185" w:rsidRPr="00C70EAF" w:rsidRDefault="000F6185" w:rsidP="000F61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$120,950</w:t>
            </w:r>
          </w:p>
        </w:tc>
      </w:tr>
      <w:tr w:rsidR="000F6185" w:rsidRPr="00C70EAF" w14:paraId="2134EB23" w14:textId="77777777" w:rsidTr="23C7E752">
        <w:tc>
          <w:tcPr>
            <w:tcW w:w="3660" w:type="dxa"/>
            <w:shd w:val="clear" w:color="auto" w:fill="auto"/>
            <w:vAlign w:val="bottom"/>
          </w:tcPr>
          <w:p w14:paraId="775668A6" w14:textId="77777777" w:rsidR="000F6185" w:rsidRPr="00C70EAF" w:rsidRDefault="000F6185" w:rsidP="000F6185">
            <w:pPr>
              <w:rPr>
                <w:rFonts w:ascii="Calibri" w:eastAsia="Times New Roman" w:hAnsi="Calibri"/>
                <w:color w:val="000000"/>
              </w:rPr>
            </w:pPr>
            <w:r w:rsidRPr="00C70EAF">
              <w:rPr>
                <w:rFonts w:ascii="Calibri" w:hAnsi="Calibri"/>
                <w:color w:val="000000"/>
              </w:rPr>
              <w:t>Expenditure ($)</w:t>
            </w:r>
          </w:p>
        </w:tc>
        <w:tc>
          <w:tcPr>
            <w:tcW w:w="2865" w:type="dxa"/>
            <w:vAlign w:val="bottom"/>
          </w:tcPr>
          <w:p w14:paraId="0EBAE4A5" w14:textId="502C5C48" w:rsidR="000F6185" w:rsidRDefault="000F6185" w:rsidP="000F6185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45922352">
              <w:rPr>
                <w:rFonts w:ascii="Calibri" w:hAnsi="Calibri"/>
                <w:color w:val="000000" w:themeColor="text1"/>
              </w:rPr>
              <w:t>$12,60</w:t>
            </w:r>
            <w:r>
              <w:rPr>
                <w:rFonts w:ascii="Calibri" w:hAnsi="Calibri"/>
                <w:color w:val="000000" w:themeColor="text1"/>
              </w:rPr>
              <w:t>1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90ADFB5" w14:textId="53FC1429" w:rsidR="000F6185" w:rsidRPr="00C70EAF" w:rsidRDefault="000F6185" w:rsidP="000F61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$58,154</w:t>
            </w:r>
          </w:p>
        </w:tc>
      </w:tr>
    </w:tbl>
    <w:p w14:paraId="062D6307" w14:textId="77777777" w:rsidR="00C70EAF" w:rsidRPr="00C70EAF" w:rsidRDefault="00C70EAF" w:rsidP="00C70EAF">
      <w:r w:rsidRPr="00C70EAF">
        <w:t>* These figures include all applications approved in the financial year, irrespective of whether they were lodged in that year.</w:t>
      </w:r>
    </w:p>
    <w:sectPr w:rsidR="00C70EAF" w:rsidRPr="00C70E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A286" w14:textId="77777777" w:rsidR="00EF0709" w:rsidRDefault="00EF0709" w:rsidP="003231F1">
      <w:pPr>
        <w:spacing w:after="0" w:line="240" w:lineRule="auto"/>
      </w:pPr>
      <w:r>
        <w:separator/>
      </w:r>
    </w:p>
  </w:endnote>
  <w:endnote w:type="continuationSeparator" w:id="0">
    <w:p w14:paraId="02F43B56" w14:textId="77777777" w:rsidR="00EF0709" w:rsidRDefault="00EF0709" w:rsidP="0032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4CC3" w14:textId="1BE7B367" w:rsidR="003231F1" w:rsidRDefault="003231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2DA2C38" wp14:editId="3B2104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7AB5C" w14:textId="4FE5BA18" w:rsidR="003231F1" w:rsidRPr="003231F1" w:rsidRDefault="003231F1" w:rsidP="003231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3231F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2DA2C38">
              <v:stroke joinstyle="miter"/>
              <v:path gradientshapeok="t" o:connecttype="rect"/>
            </v:shapetype>
            <v:shape id="Text Box 5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3231F1" w:rsidR="003231F1" w:rsidP="003231F1" w:rsidRDefault="003231F1" w14:paraId="1F27AB5C" w14:textId="4FE5BA1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3231F1"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402F" w14:textId="3F2938CF" w:rsidR="003231F1" w:rsidRDefault="003231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B752941" wp14:editId="16972A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B797D" w14:textId="56D077F7" w:rsidR="003231F1" w:rsidRPr="003231F1" w:rsidRDefault="003231F1" w:rsidP="003231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3231F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B752941">
              <v:stroke joinstyle="miter"/>
              <v:path gradientshapeok="t" o:connecttype="rect"/>
            </v:shapetype>
            <v:shape id="Text Box 6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3231F1" w:rsidR="003231F1" w:rsidP="003231F1" w:rsidRDefault="003231F1" w14:paraId="38DB797D" w14:textId="56D077F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3231F1"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F4F3" w14:textId="74879C8E" w:rsidR="003231F1" w:rsidRDefault="003231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8DD884" wp14:editId="6F5794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B2EA1" w14:textId="7728B292" w:rsidR="003231F1" w:rsidRPr="003231F1" w:rsidRDefault="003231F1" w:rsidP="003231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3231F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18DD884">
              <v:stroke joinstyle="miter"/>
              <v:path gradientshapeok="t" o:connecttype="rect"/>
            </v:shapetype>
            <v:shape id="Text Box 4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3231F1" w:rsidR="003231F1" w:rsidP="003231F1" w:rsidRDefault="003231F1" w14:paraId="39AB2EA1" w14:textId="7728B29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3231F1"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6EC5" w14:textId="77777777" w:rsidR="00EF0709" w:rsidRDefault="00EF0709" w:rsidP="003231F1">
      <w:pPr>
        <w:spacing w:after="0" w:line="240" w:lineRule="auto"/>
      </w:pPr>
      <w:r>
        <w:separator/>
      </w:r>
    </w:p>
  </w:footnote>
  <w:footnote w:type="continuationSeparator" w:id="0">
    <w:p w14:paraId="096089B2" w14:textId="77777777" w:rsidR="00EF0709" w:rsidRDefault="00EF0709" w:rsidP="0032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FF13" w14:textId="11CB6819" w:rsidR="003231F1" w:rsidRDefault="003231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654AD1" wp14:editId="13F7C5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41466" w14:textId="003F3598" w:rsidR="003231F1" w:rsidRPr="003231F1" w:rsidRDefault="003231F1" w:rsidP="003231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3231F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3654AD1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3231F1" w:rsidR="003231F1" w:rsidP="003231F1" w:rsidRDefault="003231F1" w14:paraId="00741466" w14:textId="003F359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3231F1"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BBBB" w14:textId="721F28AE" w:rsidR="003231F1" w:rsidRDefault="003231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6892CC" wp14:editId="06719F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90D5B" w14:textId="544216CD" w:rsidR="003231F1" w:rsidRPr="003231F1" w:rsidRDefault="003231F1" w:rsidP="003231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3231F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06892CC">
              <v:stroke joinstyle="miter"/>
              <v:path gradientshapeok="t" o:connecttype="rect"/>
            </v:shapetype>
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3231F1" w:rsidR="003231F1" w:rsidP="003231F1" w:rsidRDefault="003231F1" w14:paraId="16B90D5B" w14:textId="544216C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3231F1"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91F5" w14:textId="72766F0F" w:rsidR="003231F1" w:rsidRDefault="003231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8F7594" wp14:editId="261ECD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CF6C13" w14:textId="25721F12" w:rsidR="003231F1" w:rsidRPr="003231F1" w:rsidRDefault="003231F1" w:rsidP="003231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3231F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48F7594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3231F1" w:rsidR="003231F1" w:rsidP="003231F1" w:rsidRDefault="003231F1" w14:paraId="79CF6C13" w14:textId="25721F1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3231F1"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AF"/>
    <w:rsid w:val="00064D3E"/>
    <w:rsid w:val="000F6185"/>
    <w:rsid w:val="00165B71"/>
    <w:rsid w:val="00177524"/>
    <w:rsid w:val="001A5463"/>
    <w:rsid w:val="00204D17"/>
    <w:rsid w:val="00217B2C"/>
    <w:rsid w:val="002701AB"/>
    <w:rsid w:val="003231F1"/>
    <w:rsid w:val="0035124F"/>
    <w:rsid w:val="003A5A93"/>
    <w:rsid w:val="003B2DCE"/>
    <w:rsid w:val="003C26AD"/>
    <w:rsid w:val="004010E9"/>
    <w:rsid w:val="004176D1"/>
    <w:rsid w:val="00501A14"/>
    <w:rsid w:val="006B2241"/>
    <w:rsid w:val="006E1D55"/>
    <w:rsid w:val="007041CE"/>
    <w:rsid w:val="0077326E"/>
    <w:rsid w:val="00796DD5"/>
    <w:rsid w:val="007F281C"/>
    <w:rsid w:val="0080428E"/>
    <w:rsid w:val="00872C4E"/>
    <w:rsid w:val="009564BE"/>
    <w:rsid w:val="009F54BA"/>
    <w:rsid w:val="00AD0EE8"/>
    <w:rsid w:val="00B03DE4"/>
    <w:rsid w:val="00B710EC"/>
    <w:rsid w:val="00BB621D"/>
    <w:rsid w:val="00C70EAF"/>
    <w:rsid w:val="00CE07AF"/>
    <w:rsid w:val="00DE7A30"/>
    <w:rsid w:val="00DE7E9D"/>
    <w:rsid w:val="00E86FBF"/>
    <w:rsid w:val="00EE4272"/>
    <w:rsid w:val="00EF0709"/>
    <w:rsid w:val="00F31BF5"/>
    <w:rsid w:val="03A3F1B2"/>
    <w:rsid w:val="0A9BADF0"/>
    <w:rsid w:val="15D72EF1"/>
    <w:rsid w:val="174AB0FC"/>
    <w:rsid w:val="1A1C435C"/>
    <w:rsid w:val="1AEEC962"/>
    <w:rsid w:val="1C6CF835"/>
    <w:rsid w:val="21E093CD"/>
    <w:rsid w:val="23C7E752"/>
    <w:rsid w:val="27E5BB08"/>
    <w:rsid w:val="2B3064D9"/>
    <w:rsid w:val="2F2291E8"/>
    <w:rsid w:val="2F22C467"/>
    <w:rsid w:val="319D2767"/>
    <w:rsid w:val="340BF2B5"/>
    <w:rsid w:val="35515FE6"/>
    <w:rsid w:val="3769B6CA"/>
    <w:rsid w:val="39E01DDD"/>
    <w:rsid w:val="3A74E36D"/>
    <w:rsid w:val="3C278AD0"/>
    <w:rsid w:val="3D1A859C"/>
    <w:rsid w:val="41131866"/>
    <w:rsid w:val="45922352"/>
    <w:rsid w:val="48C72AFC"/>
    <w:rsid w:val="53D6F03C"/>
    <w:rsid w:val="56DC4E95"/>
    <w:rsid w:val="57FB6B0C"/>
    <w:rsid w:val="582ABD77"/>
    <w:rsid w:val="5D1CC037"/>
    <w:rsid w:val="66E4DF04"/>
    <w:rsid w:val="6893FA69"/>
    <w:rsid w:val="68E4D0D1"/>
    <w:rsid w:val="6A7CAD12"/>
    <w:rsid w:val="71FCCE06"/>
    <w:rsid w:val="79EC97C7"/>
    <w:rsid w:val="79EEB78E"/>
    <w:rsid w:val="7B8A8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4613"/>
  <w15:chartTrackingRefBased/>
  <w15:docId w15:val="{1F4AB306-DF80-45FC-B0C3-6DBA73D5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A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E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0E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0E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0E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7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0E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1F1"/>
  </w:style>
  <w:style w:type="paragraph" w:styleId="Footer">
    <w:name w:val="footer"/>
    <w:basedOn w:val="Normal"/>
    <w:link w:val="FooterChar"/>
    <w:uiPriority w:val="99"/>
    <w:unhideWhenUsed/>
    <w:rsid w:val="0032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fsa.gov.au/statistics/guide-administration-statistic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640D06487C94F8079D1484372A9B6" ma:contentTypeVersion="18" ma:contentTypeDescription="Create a new document." ma:contentTypeScope="" ma:versionID="a2d17fa70c9984a139b57df36eb07a29">
  <xsd:schema xmlns:xsd="http://www.w3.org/2001/XMLSchema" xmlns:xs="http://www.w3.org/2001/XMLSchema" xmlns:p="http://schemas.microsoft.com/office/2006/metadata/properties" xmlns:ns2="e93ca305-1d07-4aca-8d55-5c008d9a39bd" xmlns:ns3="86b44b81-153f-4bbe-acb1-d13c96326b4f" targetNamespace="http://schemas.microsoft.com/office/2006/metadata/properties" ma:root="true" ma:fieldsID="db331e16121fbd551a1e2ab5da52dbc9" ns2:_="" ns3:_="">
    <xsd:import namespace="e93ca305-1d07-4aca-8d55-5c008d9a39bd"/>
    <xsd:import namespace="86b44b81-153f-4bbe-acb1-d13c96326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ca305-1d07-4aca-8d55-5c008d9a3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4dd9da-ad1b-4c3c-a08c-a2838310b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4b81-153f-4bbe-acb1-d13c96326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1bb7fe-79d8-44fe-ab4c-339c240a9d06}" ma:internalName="TaxCatchAll" ma:showField="CatchAllData" ma:web="86b44b81-153f-4bbe-acb1-d13c96326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b44b81-153f-4bbe-acb1-d13c96326b4f" xsi:nil="true"/>
    <lcf76f155ced4ddcb4097134ff3c332f xmlns="e93ca305-1d07-4aca-8d55-5c008d9a39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020EC3-9470-4B55-9A20-E821FBB0F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ca305-1d07-4aca-8d55-5c008d9a39bd"/>
    <ds:schemaRef ds:uri="86b44b81-153f-4bbe-acb1-d13c96326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EE0C1-BE74-49C8-86B2-15E3BF17A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83493-AB0D-4815-B015-4B2D1FF1A545}">
  <ds:schemaRefs>
    <ds:schemaRef ds:uri="http://schemas.microsoft.com/office/2006/metadata/properties"/>
    <ds:schemaRef ds:uri="http://schemas.microsoft.com/office/infopath/2007/PartnerControls"/>
    <ds:schemaRef ds:uri="86b44b81-153f-4bbe-acb1-d13c96326b4f"/>
    <ds:schemaRef ds:uri="e93ca305-1d07-4aca-8d55-5c008d9a39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WICHT</dc:creator>
  <cp:keywords/>
  <dc:description/>
  <cp:lastModifiedBy>Mark WICHT</cp:lastModifiedBy>
  <cp:revision>36</cp:revision>
  <dcterms:created xsi:type="dcterms:W3CDTF">2022-11-08T22:56:00Z</dcterms:created>
  <dcterms:modified xsi:type="dcterms:W3CDTF">2023-12-15T03:01:00Z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0x0101001BD640D06487C94F8079D1484372A9B6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#ff0000,14,Calibri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#ff0000,14,Calibri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81af44e5-4e25-40be-b437-08fbc55eac1d_Enabled">
    <vt:lpwstr>true</vt:lpwstr>
  </property>
  <property fmtid="{D5CDD505-2E9C-101B-9397-08002B2CF9AE}" pid="10" name="MSIP_Label_81af44e5-4e25-40be-b437-08fbc55eac1d_SetDate">
    <vt:lpwstr>2022-11-08T22:56:42Z</vt:lpwstr>
  </property>
  <property fmtid="{D5CDD505-2E9C-101B-9397-08002B2CF9AE}" pid="11" name="MSIP_Label_81af44e5-4e25-40be-b437-08fbc55eac1d_Method">
    <vt:lpwstr>Privileged</vt:lpwstr>
  </property>
  <property fmtid="{D5CDD505-2E9C-101B-9397-08002B2CF9AE}" pid="12" name="MSIP_Label_81af44e5-4e25-40be-b437-08fbc55eac1d_Name">
    <vt:lpwstr>OFFICIAL</vt:lpwstr>
  </property>
  <property fmtid="{D5CDD505-2E9C-101B-9397-08002B2CF9AE}" pid="13" name="MSIP_Label_81af44e5-4e25-40be-b437-08fbc55eac1d_SiteId">
    <vt:lpwstr>908d2823-d1bb-45b1-9a09-293dbca1a797</vt:lpwstr>
  </property>
  <property fmtid="{D5CDD505-2E9C-101B-9397-08002B2CF9AE}" pid="14" name="MSIP_Label_81af44e5-4e25-40be-b437-08fbc55eac1d_ActionId">
    <vt:lpwstr>7b465669-b02a-4d92-b966-fb800956c034</vt:lpwstr>
  </property>
  <property fmtid="{D5CDD505-2E9C-101B-9397-08002B2CF9AE}" pid="15" name="MSIP_Label_81af44e5-4e25-40be-b437-08fbc55eac1d_ContentBits">
    <vt:lpwstr>3</vt:lpwstr>
  </property>
  <property fmtid="{D5CDD505-2E9C-101B-9397-08002B2CF9AE}" pid="16" name="MediaServiceImageTags">
    <vt:lpwstr/>
  </property>
</Properties>
</file>