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CellMar>
          <w:top w:w="15" w:type="dxa"/>
          <w:left w:w="15" w:type="dxa"/>
          <w:bottom w:w="15" w:type="dxa"/>
          <w:right w:w="15" w:type="dxa"/>
        </w:tblCellMar>
        <w:tblLook w:val="04A0" w:firstRow="1" w:lastRow="0" w:firstColumn="1" w:lastColumn="0" w:noHBand="0" w:noVBand="1"/>
        <w:tblDescription w:val="Table 59: Centrelink payments merit review applications"/>
      </w:tblPr>
      <w:tblGrid>
        <w:gridCol w:w="3539"/>
        <w:gridCol w:w="1418"/>
        <w:gridCol w:w="1559"/>
        <w:gridCol w:w="1559"/>
      </w:tblGrid>
      <w:tr w:rsidR="00FE7892" w:rsidRPr="00FE7892" w:rsidTr="00FE7892">
        <w:trPr>
          <w:tblHeader/>
          <w:tblCellSpacing w:w="15" w:type="dxa"/>
        </w:trPr>
        <w:tc>
          <w:tcPr>
            <w:tcW w:w="8015" w:type="dxa"/>
            <w:gridSpan w:val="4"/>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rPr>
                <w:rFonts w:ascii="Times New Roman" w:eastAsia="Times New Roman" w:hAnsi="Times New Roman" w:cs="Times New Roman"/>
                <w:sz w:val="24"/>
                <w:szCs w:val="24"/>
                <w:lang w:eastAsia="en-AU"/>
              </w:rPr>
            </w:pPr>
            <w:r w:rsidRPr="00FE7892">
              <w:rPr>
                <w:rFonts w:ascii="Times New Roman" w:eastAsia="Times New Roman" w:hAnsi="Times New Roman" w:cs="Times New Roman"/>
                <w:b/>
                <w:bCs/>
                <w:sz w:val="24"/>
                <w:szCs w:val="24"/>
                <w:lang w:eastAsia="en-AU"/>
              </w:rPr>
              <w:t>Table 59:</w:t>
            </w:r>
            <w:r w:rsidRPr="00FE7892">
              <w:rPr>
                <w:rFonts w:ascii="Times New Roman" w:eastAsia="Times New Roman" w:hAnsi="Times New Roman" w:cs="Times New Roman"/>
                <w:sz w:val="24"/>
                <w:szCs w:val="24"/>
                <w:lang w:eastAsia="en-AU"/>
              </w:rPr>
              <w:t xml:space="preserve"> Centrelink payments merit review applications</w:t>
            </w:r>
          </w:p>
        </w:tc>
      </w:tr>
      <w:tr w:rsidR="00FE7892" w:rsidRPr="00FE7892" w:rsidTr="00FE7892">
        <w:trPr>
          <w:tblHeader/>
          <w:tblCellSpacing w:w="15" w:type="dxa"/>
        </w:trPr>
        <w:tc>
          <w:tcPr>
            <w:tcW w:w="3494"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rPr>
                <w:rFonts w:ascii="Times New Roman" w:eastAsia="Times New Roman" w:hAnsi="Times New Roman" w:cs="Times New Roman"/>
                <w:b/>
                <w:bCs/>
                <w:sz w:val="24"/>
                <w:szCs w:val="24"/>
                <w:lang w:eastAsia="en-AU"/>
              </w:rPr>
            </w:pPr>
            <w:r w:rsidRPr="00FE7892">
              <w:rPr>
                <w:rFonts w:ascii="Times New Roman" w:eastAsia="Times New Roman" w:hAnsi="Times New Roman" w:cs="Times New Roman"/>
                <w:b/>
                <w:bCs/>
                <w:sz w:val="24"/>
                <w:szCs w:val="24"/>
                <w:lang w:eastAsia="en-AU"/>
              </w:rPr>
              <w:t>Applications</w:t>
            </w:r>
          </w:p>
        </w:tc>
        <w:tc>
          <w:tcPr>
            <w:tcW w:w="1388"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jc w:val="right"/>
              <w:rPr>
                <w:rFonts w:ascii="Times New Roman" w:eastAsia="Times New Roman" w:hAnsi="Times New Roman" w:cs="Times New Roman"/>
                <w:b/>
                <w:bCs/>
                <w:sz w:val="24"/>
                <w:szCs w:val="24"/>
                <w:lang w:eastAsia="en-AU"/>
              </w:rPr>
            </w:pPr>
            <w:r w:rsidRPr="00FE7892">
              <w:rPr>
                <w:rFonts w:ascii="Times New Roman" w:eastAsia="Times New Roman" w:hAnsi="Times New Roman" w:cs="Times New Roman"/>
                <w:b/>
                <w:bCs/>
                <w:sz w:val="24"/>
                <w:szCs w:val="24"/>
                <w:lang w:eastAsia="en-AU"/>
              </w:rPr>
              <w:t>2011–12</w:t>
            </w:r>
          </w:p>
        </w:tc>
        <w:tc>
          <w:tcPr>
            <w:tcW w:w="1529"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jc w:val="right"/>
              <w:rPr>
                <w:rFonts w:ascii="Times New Roman" w:eastAsia="Times New Roman" w:hAnsi="Times New Roman" w:cs="Times New Roman"/>
                <w:b/>
                <w:bCs/>
                <w:sz w:val="24"/>
                <w:szCs w:val="24"/>
                <w:lang w:eastAsia="en-AU"/>
              </w:rPr>
            </w:pPr>
            <w:r w:rsidRPr="00FE7892">
              <w:rPr>
                <w:rFonts w:ascii="Times New Roman" w:eastAsia="Times New Roman" w:hAnsi="Times New Roman" w:cs="Times New Roman"/>
                <w:b/>
                <w:bCs/>
                <w:sz w:val="24"/>
                <w:szCs w:val="24"/>
                <w:lang w:eastAsia="en-AU"/>
              </w:rPr>
              <w:t>2012–13</w:t>
            </w:r>
          </w:p>
        </w:tc>
        <w:tc>
          <w:tcPr>
            <w:tcW w:w="1514"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jc w:val="right"/>
              <w:rPr>
                <w:rFonts w:ascii="Times New Roman" w:eastAsia="Times New Roman" w:hAnsi="Times New Roman" w:cs="Times New Roman"/>
                <w:b/>
                <w:bCs/>
                <w:sz w:val="24"/>
                <w:szCs w:val="24"/>
                <w:lang w:eastAsia="en-AU"/>
              </w:rPr>
            </w:pPr>
            <w:r w:rsidRPr="00FE7892">
              <w:rPr>
                <w:rFonts w:ascii="Times New Roman" w:eastAsia="Times New Roman" w:hAnsi="Times New Roman" w:cs="Times New Roman"/>
                <w:b/>
                <w:bCs/>
                <w:sz w:val="24"/>
                <w:szCs w:val="24"/>
                <w:lang w:eastAsia="en-AU"/>
              </w:rPr>
              <w:t>2013–14</w:t>
            </w:r>
          </w:p>
        </w:tc>
      </w:tr>
      <w:tr w:rsidR="00FE7892" w:rsidRPr="00FE7892" w:rsidTr="00FE7892">
        <w:trPr>
          <w:tblCellSpacing w:w="15" w:type="dxa"/>
        </w:trPr>
        <w:tc>
          <w:tcPr>
            <w:tcW w:w="3494"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rPr>
                <w:rFonts w:ascii="Times New Roman" w:eastAsia="Times New Roman" w:hAnsi="Times New Roman" w:cs="Times New Roman"/>
                <w:sz w:val="24"/>
                <w:szCs w:val="24"/>
                <w:lang w:eastAsia="en-AU"/>
              </w:rPr>
            </w:pPr>
            <w:r w:rsidRPr="00FE7892">
              <w:rPr>
                <w:rFonts w:ascii="Times New Roman" w:eastAsia="Times New Roman" w:hAnsi="Times New Roman" w:cs="Times New Roman"/>
                <w:sz w:val="24"/>
                <w:szCs w:val="24"/>
                <w:lang w:eastAsia="en-AU"/>
              </w:rPr>
              <w:t>Internal reviews</w:t>
            </w:r>
          </w:p>
        </w:tc>
        <w:tc>
          <w:tcPr>
            <w:tcW w:w="1388"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jc w:val="right"/>
              <w:rPr>
                <w:rFonts w:ascii="Times New Roman" w:eastAsia="Times New Roman" w:hAnsi="Times New Roman" w:cs="Times New Roman"/>
                <w:sz w:val="24"/>
                <w:szCs w:val="24"/>
                <w:lang w:eastAsia="en-AU"/>
              </w:rPr>
            </w:pPr>
            <w:r w:rsidRPr="00FE7892">
              <w:rPr>
                <w:rFonts w:ascii="Times New Roman" w:eastAsia="Times New Roman" w:hAnsi="Times New Roman" w:cs="Times New Roman"/>
                <w:sz w:val="24"/>
                <w:szCs w:val="24"/>
                <w:lang w:eastAsia="en-AU"/>
              </w:rPr>
              <w:t>169,726</w:t>
            </w:r>
          </w:p>
        </w:tc>
        <w:tc>
          <w:tcPr>
            <w:tcW w:w="1529"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jc w:val="right"/>
              <w:rPr>
                <w:rFonts w:ascii="Times New Roman" w:eastAsia="Times New Roman" w:hAnsi="Times New Roman" w:cs="Times New Roman"/>
                <w:sz w:val="24"/>
                <w:szCs w:val="24"/>
                <w:lang w:eastAsia="en-AU"/>
              </w:rPr>
            </w:pPr>
            <w:r w:rsidRPr="00FE7892">
              <w:rPr>
                <w:rFonts w:ascii="Times New Roman" w:eastAsia="Times New Roman" w:hAnsi="Times New Roman" w:cs="Times New Roman"/>
                <w:sz w:val="24"/>
                <w:szCs w:val="24"/>
                <w:lang w:eastAsia="en-AU"/>
              </w:rPr>
              <w:t>135,545</w:t>
            </w:r>
          </w:p>
        </w:tc>
        <w:tc>
          <w:tcPr>
            <w:tcW w:w="1514"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jc w:val="right"/>
              <w:rPr>
                <w:rFonts w:ascii="Times New Roman" w:eastAsia="Times New Roman" w:hAnsi="Times New Roman" w:cs="Times New Roman"/>
                <w:sz w:val="24"/>
                <w:szCs w:val="24"/>
                <w:lang w:eastAsia="en-AU"/>
              </w:rPr>
            </w:pPr>
            <w:r w:rsidRPr="00FE7892">
              <w:rPr>
                <w:rFonts w:ascii="Times New Roman" w:eastAsia="Times New Roman" w:hAnsi="Times New Roman" w:cs="Times New Roman"/>
                <w:sz w:val="24"/>
                <w:szCs w:val="24"/>
                <w:lang w:eastAsia="en-AU"/>
              </w:rPr>
              <w:t>115,618</w:t>
            </w:r>
          </w:p>
        </w:tc>
      </w:tr>
      <w:tr w:rsidR="00FE7892" w:rsidRPr="00FE7892" w:rsidTr="00FE7892">
        <w:trPr>
          <w:tblCellSpacing w:w="15" w:type="dxa"/>
        </w:trPr>
        <w:tc>
          <w:tcPr>
            <w:tcW w:w="3494"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rPr>
                <w:rFonts w:ascii="Times New Roman" w:eastAsia="Times New Roman" w:hAnsi="Times New Roman" w:cs="Times New Roman"/>
                <w:sz w:val="24"/>
                <w:szCs w:val="24"/>
                <w:lang w:eastAsia="en-AU"/>
              </w:rPr>
            </w:pPr>
            <w:proofErr w:type="spellStart"/>
            <w:r w:rsidRPr="00FE7892">
              <w:rPr>
                <w:rFonts w:ascii="Times New Roman" w:eastAsia="Times New Roman" w:hAnsi="Times New Roman" w:cs="Times New Roman"/>
                <w:sz w:val="24"/>
                <w:szCs w:val="24"/>
                <w:lang w:eastAsia="en-AU"/>
              </w:rPr>
              <w:t>SSAT</w:t>
            </w:r>
            <w:proofErr w:type="spellEnd"/>
          </w:p>
        </w:tc>
        <w:tc>
          <w:tcPr>
            <w:tcW w:w="1388"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jc w:val="right"/>
              <w:rPr>
                <w:rFonts w:ascii="Times New Roman" w:eastAsia="Times New Roman" w:hAnsi="Times New Roman" w:cs="Times New Roman"/>
                <w:sz w:val="24"/>
                <w:szCs w:val="24"/>
                <w:lang w:eastAsia="en-AU"/>
              </w:rPr>
            </w:pPr>
            <w:r w:rsidRPr="00FE7892">
              <w:rPr>
                <w:rFonts w:ascii="Times New Roman" w:eastAsia="Times New Roman" w:hAnsi="Times New Roman" w:cs="Times New Roman"/>
                <w:sz w:val="24"/>
                <w:szCs w:val="24"/>
                <w:lang w:eastAsia="en-AU"/>
              </w:rPr>
              <w:t>11,097</w:t>
            </w:r>
          </w:p>
        </w:tc>
        <w:tc>
          <w:tcPr>
            <w:tcW w:w="1529"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jc w:val="right"/>
              <w:rPr>
                <w:rFonts w:ascii="Times New Roman" w:eastAsia="Times New Roman" w:hAnsi="Times New Roman" w:cs="Times New Roman"/>
                <w:sz w:val="24"/>
                <w:szCs w:val="24"/>
                <w:lang w:eastAsia="en-AU"/>
              </w:rPr>
            </w:pPr>
            <w:r w:rsidRPr="00FE7892">
              <w:rPr>
                <w:rFonts w:ascii="Times New Roman" w:eastAsia="Times New Roman" w:hAnsi="Times New Roman" w:cs="Times New Roman"/>
                <w:sz w:val="24"/>
                <w:szCs w:val="24"/>
                <w:lang w:eastAsia="en-AU"/>
              </w:rPr>
              <w:t>12,147</w:t>
            </w:r>
          </w:p>
        </w:tc>
        <w:tc>
          <w:tcPr>
            <w:tcW w:w="1514"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jc w:val="right"/>
              <w:rPr>
                <w:rFonts w:ascii="Times New Roman" w:eastAsia="Times New Roman" w:hAnsi="Times New Roman" w:cs="Times New Roman"/>
                <w:sz w:val="24"/>
                <w:szCs w:val="24"/>
                <w:lang w:eastAsia="en-AU"/>
              </w:rPr>
            </w:pPr>
            <w:r w:rsidRPr="00FE7892">
              <w:rPr>
                <w:rFonts w:ascii="Times New Roman" w:eastAsia="Times New Roman" w:hAnsi="Times New Roman" w:cs="Times New Roman"/>
                <w:sz w:val="24"/>
                <w:szCs w:val="24"/>
                <w:lang w:eastAsia="en-AU"/>
              </w:rPr>
              <w:t>9,812</w:t>
            </w:r>
          </w:p>
        </w:tc>
      </w:tr>
      <w:tr w:rsidR="00FE7892" w:rsidRPr="00FE7892" w:rsidTr="00FE7892">
        <w:trPr>
          <w:tblCellSpacing w:w="15" w:type="dxa"/>
        </w:trPr>
        <w:tc>
          <w:tcPr>
            <w:tcW w:w="3494"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rPr>
                <w:rFonts w:ascii="Times New Roman" w:eastAsia="Times New Roman" w:hAnsi="Times New Roman" w:cs="Times New Roman"/>
                <w:sz w:val="24"/>
                <w:szCs w:val="24"/>
                <w:lang w:eastAsia="en-AU"/>
              </w:rPr>
            </w:pPr>
            <w:r w:rsidRPr="00FE7892">
              <w:rPr>
                <w:rFonts w:ascii="Times New Roman" w:eastAsia="Times New Roman" w:hAnsi="Times New Roman" w:cs="Times New Roman"/>
                <w:sz w:val="24"/>
                <w:szCs w:val="24"/>
                <w:lang w:eastAsia="en-AU"/>
              </w:rPr>
              <w:t>AAT—customer applications</w:t>
            </w:r>
          </w:p>
        </w:tc>
        <w:tc>
          <w:tcPr>
            <w:tcW w:w="1388"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jc w:val="right"/>
              <w:rPr>
                <w:rFonts w:ascii="Times New Roman" w:eastAsia="Times New Roman" w:hAnsi="Times New Roman" w:cs="Times New Roman"/>
                <w:sz w:val="24"/>
                <w:szCs w:val="24"/>
                <w:lang w:eastAsia="en-AU"/>
              </w:rPr>
            </w:pPr>
            <w:r w:rsidRPr="00FE7892">
              <w:rPr>
                <w:rFonts w:ascii="Times New Roman" w:eastAsia="Times New Roman" w:hAnsi="Times New Roman" w:cs="Times New Roman"/>
                <w:sz w:val="24"/>
                <w:szCs w:val="24"/>
                <w:lang w:eastAsia="en-AU"/>
              </w:rPr>
              <w:t>1,633</w:t>
            </w:r>
          </w:p>
        </w:tc>
        <w:tc>
          <w:tcPr>
            <w:tcW w:w="1529"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jc w:val="right"/>
              <w:rPr>
                <w:rFonts w:ascii="Times New Roman" w:eastAsia="Times New Roman" w:hAnsi="Times New Roman" w:cs="Times New Roman"/>
                <w:sz w:val="24"/>
                <w:szCs w:val="24"/>
                <w:lang w:eastAsia="en-AU"/>
              </w:rPr>
            </w:pPr>
            <w:r w:rsidRPr="00FE7892">
              <w:rPr>
                <w:rFonts w:ascii="Times New Roman" w:eastAsia="Times New Roman" w:hAnsi="Times New Roman" w:cs="Times New Roman"/>
                <w:sz w:val="24"/>
                <w:szCs w:val="24"/>
                <w:lang w:eastAsia="en-AU"/>
              </w:rPr>
              <w:t>1,919</w:t>
            </w:r>
          </w:p>
        </w:tc>
        <w:tc>
          <w:tcPr>
            <w:tcW w:w="1514"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jc w:val="right"/>
              <w:rPr>
                <w:rFonts w:ascii="Times New Roman" w:eastAsia="Times New Roman" w:hAnsi="Times New Roman" w:cs="Times New Roman"/>
                <w:sz w:val="24"/>
                <w:szCs w:val="24"/>
                <w:lang w:eastAsia="en-AU"/>
              </w:rPr>
            </w:pPr>
            <w:r w:rsidRPr="00FE7892">
              <w:rPr>
                <w:rFonts w:ascii="Times New Roman" w:eastAsia="Times New Roman" w:hAnsi="Times New Roman" w:cs="Times New Roman"/>
                <w:sz w:val="24"/>
                <w:szCs w:val="24"/>
                <w:lang w:eastAsia="en-AU"/>
              </w:rPr>
              <w:t>1,924</w:t>
            </w:r>
          </w:p>
        </w:tc>
      </w:tr>
      <w:tr w:rsidR="00FE7892" w:rsidRPr="00FE7892" w:rsidTr="00FE7892">
        <w:trPr>
          <w:tblCellSpacing w:w="15" w:type="dxa"/>
        </w:trPr>
        <w:tc>
          <w:tcPr>
            <w:tcW w:w="3494"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rPr>
                <w:rFonts w:ascii="Times New Roman" w:eastAsia="Times New Roman" w:hAnsi="Times New Roman" w:cs="Times New Roman"/>
                <w:sz w:val="24"/>
                <w:szCs w:val="24"/>
                <w:lang w:eastAsia="en-AU"/>
              </w:rPr>
            </w:pPr>
            <w:r w:rsidRPr="00FE7892">
              <w:rPr>
                <w:rFonts w:ascii="Times New Roman" w:eastAsia="Times New Roman" w:hAnsi="Times New Roman" w:cs="Times New Roman"/>
                <w:sz w:val="24"/>
                <w:szCs w:val="24"/>
                <w:lang w:eastAsia="en-AU"/>
              </w:rPr>
              <w:t>AAT—Secretary applications</w:t>
            </w:r>
            <w:r w:rsidRPr="00FE7892">
              <w:rPr>
                <w:rFonts w:ascii="Times New Roman" w:eastAsia="Times New Roman" w:hAnsi="Times New Roman" w:cs="Times New Roman"/>
                <w:sz w:val="24"/>
                <w:szCs w:val="24"/>
                <w:vertAlign w:val="superscript"/>
                <w:lang w:eastAsia="en-AU"/>
              </w:rPr>
              <w:t>1</w:t>
            </w:r>
          </w:p>
        </w:tc>
        <w:tc>
          <w:tcPr>
            <w:tcW w:w="1388"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jc w:val="right"/>
              <w:rPr>
                <w:rFonts w:ascii="Times New Roman" w:eastAsia="Times New Roman" w:hAnsi="Times New Roman" w:cs="Times New Roman"/>
                <w:sz w:val="24"/>
                <w:szCs w:val="24"/>
                <w:lang w:eastAsia="en-AU"/>
              </w:rPr>
            </w:pPr>
            <w:r w:rsidRPr="00FE7892">
              <w:rPr>
                <w:rFonts w:ascii="Times New Roman" w:eastAsia="Times New Roman" w:hAnsi="Times New Roman" w:cs="Times New Roman"/>
                <w:sz w:val="24"/>
                <w:szCs w:val="24"/>
                <w:lang w:eastAsia="en-AU"/>
              </w:rPr>
              <w:t>32</w:t>
            </w:r>
          </w:p>
        </w:tc>
        <w:tc>
          <w:tcPr>
            <w:tcW w:w="1529"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jc w:val="right"/>
              <w:rPr>
                <w:rFonts w:ascii="Times New Roman" w:eastAsia="Times New Roman" w:hAnsi="Times New Roman" w:cs="Times New Roman"/>
                <w:sz w:val="24"/>
                <w:szCs w:val="24"/>
                <w:lang w:eastAsia="en-AU"/>
              </w:rPr>
            </w:pPr>
            <w:r w:rsidRPr="00FE7892">
              <w:rPr>
                <w:rFonts w:ascii="Times New Roman" w:eastAsia="Times New Roman" w:hAnsi="Times New Roman" w:cs="Times New Roman"/>
                <w:sz w:val="24"/>
                <w:szCs w:val="24"/>
                <w:lang w:eastAsia="en-AU"/>
              </w:rPr>
              <w:t>48</w:t>
            </w:r>
          </w:p>
        </w:tc>
        <w:tc>
          <w:tcPr>
            <w:tcW w:w="1514" w:type="dxa"/>
            <w:tcBorders>
              <w:top w:val="single" w:sz="4" w:space="0" w:color="auto"/>
              <w:left w:val="single" w:sz="4" w:space="0" w:color="auto"/>
              <w:bottom w:val="single" w:sz="4" w:space="0" w:color="auto"/>
              <w:right w:val="single" w:sz="4" w:space="0" w:color="auto"/>
            </w:tcBorders>
            <w:vAlign w:val="center"/>
            <w:hideMark/>
          </w:tcPr>
          <w:p w:rsidR="00FE7892" w:rsidRPr="00FE7892" w:rsidRDefault="00FE7892" w:rsidP="00FE7892">
            <w:pPr>
              <w:spacing w:after="0" w:line="240" w:lineRule="auto"/>
              <w:jc w:val="right"/>
              <w:rPr>
                <w:rFonts w:ascii="Times New Roman" w:eastAsia="Times New Roman" w:hAnsi="Times New Roman" w:cs="Times New Roman"/>
                <w:sz w:val="24"/>
                <w:szCs w:val="24"/>
                <w:lang w:eastAsia="en-AU"/>
              </w:rPr>
            </w:pPr>
            <w:r w:rsidRPr="00FE7892">
              <w:rPr>
                <w:rFonts w:ascii="Times New Roman" w:eastAsia="Times New Roman" w:hAnsi="Times New Roman" w:cs="Times New Roman"/>
                <w:sz w:val="24"/>
                <w:szCs w:val="24"/>
                <w:lang w:eastAsia="en-AU"/>
              </w:rPr>
              <w:t>45</w:t>
            </w:r>
          </w:p>
        </w:tc>
      </w:tr>
    </w:tbl>
    <w:p w:rsidR="00FE7892" w:rsidRPr="00FE7892" w:rsidRDefault="00FE7892" w:rsidP="00FE7892">
      <w:pPr>
        <w:spacing w:before="100" w:beforeAutospacing="1" w:after="100" w:afterAutospacing="1" w:line="240" w:lineRule="auto"/>
        <w:rPr>
          <w:rFonts w:ascii="Times New Roman" w:eastAsia="Times New Roman" w:hAnsi="Times New Roman" w:cs="Times New Roman"/>
          <w:sz w:val="24"/>
          <w:szCs w:val="24"/>
          <w:lang w:val="en" w:eastAsia="en-AU"/>
        </w:rPr>
      </w:pPr>
      <w:r w:rsidRPr="00FE7892">
        <w:rPr>
          <w:rFonts w:ascii="Times New Roman" w:eastAsia="Times New Roman" w:hAnsi="Times New Roman" w:cs="Times New Roman"/>
          <w:sz w:val="24"/>
          <w:szCs w:val="24"/>
          <w:lang w:val="en" w:eastAsia="en-AU"/>
        </w:rPr>
        <w:t>1. The Secretary refers to the Secretary of any policy department where under the Administrative Arrangements Order the Minister of that department has administrative responsibility for the legislation relevant to the decision under review. The department manages these applications on behalf of the policy department Secretary.</w:t>
      </w:r>
    </w:p>
    <w:p w:rsidR="003F72BE" w:rsidRDefault="00FE7892">
      <w:bookmarkStart w:id="0" w:name="_GoBack"/>
      <w:bookmarkEnd w:id="0"/>
    </w:p>
    <w:sectPr w:rsidR="003F72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892"/>
    <w:rsid w:val="005D412E"/>
    <w:rsid w:val="009C6B64"/>
    <w:rsid w:val="00FE78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2BB613-1D46-45D3-83E4-695D1C2C4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E7892"/>
    <w:rPr>
      <w:b/>
      <w:bCs/>
    </w:rPr>
  </w:style>
  <w:style w:type="paragraph" w:customStyle="1" w:styleId="fs90">
    <w:name w:val="fs90"/>
    <w:basedOn w:val="Normal"/>
    <w:rsid w:val="00FE7892"/>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947133">
      <w:bodyDiv w:val="1"/>
      <w:marLeft w:val="0"/>
      <w:marRight w:val="0"/>
      <w:marTop w:val="0"/>
      <w:marBottom w:val="0"/>
      <w:divBdr>
        <w:top w:val="none" w:sz="0" w:space="0" w:color="auto"/>
        <w:left w:val="none" w:sz="0" w:space="0" w:color="auto"/>
        <w:bottom w:val="none" w:sz="0" w:space="0" w:color="auto"/>
        <w:right w:val="none" w:sz="0" w:space="0" w:color="auto"/>
      </w:divBdr>
      <w:divsChild>
        <w:div w:id="720401551">
          <w:marLeft w:val="0"/>
          <w:marRight w:val="0"/>
          <w:marTop w:val="0"/>
          <w:marBottom w:val="0"/>
          <w:divBdr>
            <w:top w:val="none" w:sz="0" w:space="0" w:color="auto"/>
            <w:left w:val="none" w:sz="0" w:space="0" w:color="auto"/>
            <w:bottom w:val="none" w:sz="0" w:space="0" w:color="auto"/>
            <w:right w:val="none" w:sz="0" w:space="0" w:color="auto"/>
          </w:divBdr>
          <w:divsChild>
            <w:div w:id="1471051105">
              <w:marLeft w:val="0"/>
              <w:marRight w:val="0"/>
              <w:marTop w:val="0"/>
              <w:marBottom w:val="0"/>
              <w:divBdr>
                <w:top w:val="none" w:sz="0" w:space="0" w:color="auto"/>
                <w:left w:val="none" w:sz="0" w:space="0" w:color="auto"/>
                <w:bottom w:val="none" w:sz="0" w:space="0" w:color="auto"/>
                <w:right w:val="none" w:sz="0" w:space="0" w:color="auto"/>
              </w:divBdr>
              <w:divsChild>
                <w:div w:id="367335798">
                  <w:marLeft w:val="0"/>
                  <w:marRight w:val="0"/>
                  <w:marTop w:val="0"/>
                  <w:marBottom w:val="0"/>
                  <w:divBdr>
                    <w:top w:val="none" w:sz="0" w:space="0" w:color="auto"/>
                    <w:left w:val="none" w:sz="0" w:space="0" w:color="auto"/>
                    <w:bottom w:val="none" w:sz="0" w:space="0" w:color="auto"/>
                    <w:right w:val="none" w:sz="0" w:space="0" w:color="auto"/>
                  </w:divBdr>
                  <w:divsChild>
                    <w:div w:id="1199465026">
                      <w:marLeft w:val="0"/>
                      <w:marRight w:val="0"/>
                      <w:marTop w:val="0"/>
                      <w:marBottom w:val="0"/>
                      <w:divBdr>
                        <w:top w:val="none" w:sz="0" w:space="0" w:color="auto"/>
                        <w:left w:val="none" w:sz="0" w:space="0" w:color="auto"/>
                        <w:bottom w:val="none" w:sz="0" w:space="0" w:color="auto"/>
                        <w:right w:val="none" w:sz="0" w:space="0" w:color="auto"/>
                      </w:divBdr>
                      <w:divsChild>
                        <w:div w:id="9321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85</Words>
  <Characters>491</Characters>
  <Application>Microsoft Office Word</Application>
  <DocSecurity>0</DocSecurity>
  <Lines>4</Lines>
  <Paragraphs>1</Paragraphs>
  <ScaleCrop>false</ScaleCrop>
  <Company>Australian Government</Company>
  <LinksUpToDate>false</LinksUpToDate>
  <CharactersWithSpaces>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DHS</dc:creator>
  <cp:keywords/>
  <dc:description/>
  <cp:lastModifiedBy>Menz, Ange</cp:lastModifiedBy>
  <cp:revision>1</cp:revision>
  <dcterms:created xsi:type="dcterms:W3CDTF">2014-11-12T22:06:00Z</dcterms:created>
  <dcterms:modified xsi:type="dcterms:W3CDTF">2014-11-12T22:07:00Z</dcterms:modified>
</cp:coreProperties>
</file>