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3" w:type="dxa"/>
        <w:tblCellSpacing w:w="15" w:type="dxa"/>
        <w:tblCellMar>
          <w:top w:w="15" w:type="dxa"/>
          <w:left w:w="15" w:type="dxa"/>
          <w:bottom w:w="15" w:type="dxa"/>
          <w:right w:w="15" w:type="dxa"/>
        </w:tblCellMar>
        <w:tblLook w:val="04A0" w:firstRow="1" w:lastRow="0" w:firstColumn="1" w:lastColumn="0" w:noHBand="0" w:noVBand="1"/>
        <w:tblDescription w:val="Table 95: Waste, resource recovery and pollution"/>
      </w:tblPr>
      <w:tblGrid>
        <w:gridCol w:w="3425"/>
        <w:gridCol w:w="2524"/>
        <w:gridCol w:w="1297"/>
        <w:gridCol w:w="971"/>
        <w:gridCol w:w="1276"/>
      </w:tblGrid>
      <w:tr w:rsidR="00321502" w:rsidRPr="00321502" w:rsidTr="00321502">
        <w:trPr>
          <w:tblHeader/>
          <w:tblCellSpacing w:w="15" w:type="dxa"/>
        </w:trPr>
        <w:tc>
          <w:tcPr>
            <w:tcW w:w="9433" w:type="dxa"/>
            <w:gridSpan w:val="5"/>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b/>
                <w:bCs/>
                <w:sz w:val="24"/>
                <w:szCs w:val="24"/>
                <w:lang w:eastAsia="en-AU"/>
              </w:rPr>
              <w:t>Table 95</w:t>
            </w:r>
            <w:r w:rsidRPr="00321502">
              <w:rPr>
                <w:rFonts w:ascii="Times New Roman" w:eastAsia="Times New Roman" w:hAnsi="Times New Roman" w:cs="Times New Roman"/>
                <w:sz w:val="24"/>
                <w:szCs w:val="24"/>
                <w:lang w:eastAsia="en-AU"/>
              </w:rPr>
              <w:t>: Waste, resource recovery and pollution</w:t>
            </w:r>
          </w:p>
        </w:tc>
      </w:tr>
      <w:tr w:rsidR="00321502" w:rsidRPr="00321502" w:rsidTr="00321502">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jc w:val="center"/>
              <w:rPr>
                <w:rFonts w:ascii="Times New Roman" w:eastAsia="Times New Roman" w:hAnsi="Times New Roman" w:cs="Times New Roman"/>
                <w:b/>
                <w:bCs/>
                <w:sz w:val="24"/>
                <w:szCs w:val="24"/>
                <w:lang w:eastAsia="en-AU"/>
              </w:rPr>
            </w:pPr>
            <w:r w:rsidRPr="00321502">
              <w:rPr>
                <w:rFonts w:ascii="Times New Roman" w:eastAsia="Times New Roman" w:hAnsi="Times New Roman" w:cs="Times New Roman"/>
                <w:b/>
                <w:bCs/>
                <w:sz w:val="24"/>
                <w:szCs w:val="24"/>
                <w:lang w:eastAsia="en-AU"/>
              </w:rPr>
              <w:t> </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b/>
                <w:bCs/>
                <w:sz w:val="24"/>
                <w:szCs w:val="24"/>
                <w:lang w:eastAsia="en-AU"/>
              </w:rPr>
            </w:pPr>
            <w:r w:rsidRPr="00321502">
              <w:rPr>
                <w:rFonts w:ascii="Times New Roman" w:eastAsia="Times New Roman" w:hAnsi="Times New Roman" w:cs="Times New Roman"/>
                <w:b/>
                <w:bCs/>
                <w:sz w:val="24"/>
                <w:szCs w:val="24"/>
                <w:lang w:eastAsia="en-AU"/>
              </w:rPr>
              <w:t>Measure</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jc w:val="center"/>
              <w:rPr>
                <w:rFonts w:ascii="Times New Roman" w:eastAsia="Times New Roman" w:hAnsi="Times New Roman" w:cs="Times New Roman"/>
                <w:b/>
                <w:bCs/>
                <w:sz w:val="24"/>
                <w:szCs w:val="24"/>
                <w:lang w:eastAsia="en-AU"/>
              </w:rPr>
            </w:pPr>
            <w:r w:rsidRPr="00321502">
              <w:rPr>
                <w:rFonts w:ascii="Times New Roman" w:eastAsia="Times New Roman" w:hAnsi="Times New Roman" w:cs="Times New Roman"/>
                <w:b/>
                <w:bCs/>
                <w:sz w:val="24"/>
                <w:szCs w:val="24"/>
                <w:lang w:eastAsia="en-AU"/>
              </w:rPr>
              <w:t>2011–12</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jc w:val="center"/>
              <w:rPr>
                <w:rFonts w:ascii="Times New Roman" w:eastAsia="Times New Roman" w:hAnsi="Times New Roman" w:cs="Times New Roman"/>
                <w:b/>
                <w:bCs/>
                <w:sz w:val="24"/>
                <w:szCs w:val="24"/>
                <w:lang w:eastAsia="en-AU"/>
              </w:rPr>
            </w:pPr>
            <w:r w:rsidRPr="00321502">
              <w:rPr>
                <w:rFonts w:ascii="Times New Roman" w:eastAsia="Times New Roman" w:hAnsi="Times New Roman" w:cs="Times New Roman"/>
                <w:b/>
                <w:bCs/>
                <w:sz w:val="24"/>
                <w:szCs w:val="24"/>
                <w:lang w:eastAsia="en-AU"/>
              </w:rPr>
              <w:t>2012–13</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jc w:val="center"/>
              <w:rPr>
                <w:rFonts w:ascii="Times New Roman" w:eastAsia="Times New Roman" w:hAnsi="Times New Roman" w:cs="Times New Roman"/>
                <w:b/>
                <w:bCs/>
                <w:sz w:val="24"/>
                <w:szCs w:val="24"/>
                <w:lang w:eastAsia="en-AU"/>
              </w:rPr>
            </w:pPr>
            <w:r w:rsidRPr="00321502">
              <w:rPr>
                <w:rFonts w:ascii="Times New Roman" w:eastAsia="Times New Roman" w:hAnsi="Times New Roman" w:cs="Times New Roman"/>
                <w:b/>
                <w:bCs/>
                <w:sz w:val="24"/>
                <w:szCs w:val="24"/>
                <w:lang w:eastAsia="en-AU"/>
              </w:rPr>
              <w:t>2013–14</w:t>
            </w:r>
          </w:p>
        </w:tc>
      </w:tr>
      <w:tr w:rsidR="00321502" w:rsidRPr="00321502" w:rsidTr="0032150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Net greenhouse gas emissions—energy use</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tonnes of carbon dioxide equivalents</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119,313</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116,123</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NA</w:t>
            </w:r>
            <w:r w:rsidRPr="00321502">
              <w:rPr>
                <w:rFonts w:ascii="Times New Roman" w:eastAsia="Times New Roman" w:hAnsi="Times New Roman" w:cs="Times New Roman"/>
                <w:sz w:val="24"/>
                <w:szCs w:val="24"/>
                <w:vertAlign w:val="superscript"/>
                <w:lang w:eastAsia="en-AU"/>
              </w:rPr>
              <w:t>3</w:t>
            </w:r>
          </w:p>
        </w:tc>
      </w:tr>
      <w:tr w:rsidR="00321502" w:rsidRPr="00321502" w:rsidTr="0032150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Office copy paper recycling</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 coverage (m</w:t>
            </w:r>
            <w:r w:rsidRPr="00321502">
              <w:rPr>
                <w:rFonts w:ascii="Times New Roman" w:eastAsia="Times New Roman" w:hAnsi="Times New Roman" w:cs="Times New Roman"/>
                <w:sz w:val="24"/>
                <w:szCs w:val="24"/>
                <w:vertAlign w:val="superscript"/>
                <w:lang w:eastAsia="en-AU"/>
              </w:rPr>
              <w:t>2</w:t>
            </w:r>
            <w:r w:rsidRPr="00321502">
              <w:rPr>
                <w:rFonts w:ascii="Times New Roman" w:eastAsia="Times New Roman" w:hAnsi="Times New Roman" w:cs="Times New Roman"/>
                <w:sz w:val="24"/>
                <w:szCs w:val="24"/>
                <w:lang w:eastAsia="en-AU"/>
              </w:rPr>
              <w:t>)</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98.2</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98.2</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98.1</w:t>
            </w:r>
          </w:p>
        </w:tc>
      </w:tr>
      <w:tr w:rsidR="00321502" w:rsidRPr="00321502" w:rsidTr="0032150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Commingled recycled</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 coverage (m</w:t>
            </w:r>
            <w:r w:rsidRPr="00321502">
              <w:rPr>
                <w:rFonts w:ascii="Times New Roman" w:eastAsia="Times New Roman" w:hAnsi="Times New Roman" w:cs="Times New Roman"/>
                <w:sz w:val="24"/>
                <w:szCs w:val="24"/>
                <w:vertAlign w:val="superscript"/>
                <w:lang w:eastAsia="en-AU"/>
              </w:rPr>
              <w:t>2</w:t>
            </w:r>
            <w:r w:rsidRPr="00321502">
              <w:rPr>
                <w:rFonts w:ascii="Times New Roman" w:eastAsia="Times New Roman" w:hAnsi="Times New Roman" w:cs="Times New Roman"/>
                <w:sz w:val="24"/>
                <w:szCs w:val="24"/>
                <w:lang w:eastAsia="en-AU"/>
              </w:rPr>
              <w:t>)</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8</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18</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18</w:t>
            </w:r>
          </w:p>
        </w:tc>
      </w:tr>
      <w:tr w:rsidR="00321502" w:rsidRPr="00321502" w:rsidTr="0032150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Mobile phone recycling</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kilograms</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NA</w:t>
            </w:r>
            <w:r w:rsidRPr="00321502">
              <w:rPr>
                <w:rFonts w:ascii="Times New Roman" w:eastAsia="Times New Roman" w:hAnsi="Times New Roman" w:cs="Times New Roman"/>
                <w:sz w:val="24"/>
                <w:szCs w:val="24"/>
                <w:vertAlign w:val="superscript"/>
                <w:lang w:eastAsia="en-AU"/>
              </w:rPr>
              <w:t>1</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139</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238</w:t>
            </w:r>
          </w:p>
        </w:tc>
      </w:tr>
      <w:tr w:rsidR="00321502" w:rsidRPr="00321502" w:rsidTr="00321502">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Fluorescent and other lamps recycled</w:t>
            </w:r>
          </w:p>
        </w:tc>
        <w:tc>
          <w:tcPr>
            <w:tcW w:w="2494"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units</w:t>
            </w:r>
          </w:p>
        </w:tc>
        <w:tc>
          <w:tcPr>
            <w:tcW w:w="1267"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NA</w:t>
            </w:r>
            <w:r w:rsidRPr="00321502">
              <w:rPr>
                <w:rFonts w:ascii="Times New Roman" w:eastAsia="Times New Roman" w:hAnsi="Times New Roman" w:cs="Times New Roman"/>
                <w:sz w:val="24"/>
                <w:szCs w:val="24"/>
                <w:vertAlign w:val="superscript"/>
                <w:lang w:eastAsia="en-AU"/>
              </w:rPr>
              <w:t>2</w:t>
            </w:r>
          </w:p>
        </w:tc>
        <w:tc>
          <w:tcPr>
            <w:tcW w:w="94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1 724</w:t>
            </w:r>
            <w:r w:rsidRPr="00321502">
              <w:rPr>
                <w:rFonts w:ascii="Times New Roman" w:eastAsia="Times New Roman" w:hAnsi="Times New Roman" w:cs="Times New Roman"/>
                <w:sz w:val="24"/>
                <w:szCs w:val="24"/>
                <w:vertAlign w:val="superscript"/>
                <w:lang w:eastAsia="en-AU"/>
              </w:rPr>
              <w:t>2</w:t>
            </w:r>
          </w:p>
        </w:tc>
        <w:tc>
          <w:tcPr>
            <w:tcW w:w="1231" w:type="dxa"/>
            <w:tcBorders>
              <w:top w:val="single" w:sz="4" w:space="0" w:color="auto"/>
              <w:left w:val="single" w:sz="4" w:space="0" w:color="auto"/>
              <w:bottom w:val="single" w:sz="4" w:space="0" w:color="auto"/>
              <w:right w:val="single" w:sz="4" w:space="0" w:color="auto"/>
            </w:tcBorders>
            <w:vAlign w:val="center"/>
            <w:hideMark/>
          </w:tcPr>
          <w:p w:rsidR="00321502" w:rsidRPr="00321502" w:rsidRDefault="00321502" w:rsidP="00321502">
            <w:pPr>
              <w:spacing w:after="0" w:line="240" w:lineRule="auto"/>
              <w:rPr>
                <w:rFonts w:ascii="Times New Roman" w:eastAsia="Times New Roman" w:hAnsi="Times New Roman" w:cs="Times New Roman"/>
                <w:sz w:val="24"/>
                <w:szCs w:val="24"/>
                <w:lang w:eastAsia="en-AU"/>
              </w:rPr>
            </w:pPr>
            <w:r w:rsidRPr="00321502">
              <w:rPr>
                <w:rFonts w:ascii="Times New Roman" w:eastAsia="Times New Roman" w:hAnsi="Times New Roman" w:cs="Times New Roman"/>
                <w:sz w:val="24"/>
                <w:szCs w:val="24"/>
                <w:lang w:eastAsia="en-AU"/>
              </w:rPr>
              <w:t>2,748</w:t>
            </w:r>
          </w:p>
        </w:tc>
        <w:bookmarkStart w:id="0" w:name="_GoBack"/>
        <w:bookmarkEnd w:id="0"/>
      </w:tr>
    </w:tbl>
    <w:p w:rsidR="00321502" w:rsidRPr="00321502" w:rsidRDefault="00321502" w:rsidP="00321502">
      <w:pPr>
        <w:spacing w:before="100" w:beforeAutospacing="1" w:after="100" w:afterAutospacing="1" w:line="240" w:lineRule="auto"/>
        <w:rPr>
          <w:rFonts w:ascii="Times New Roman" w:eastAsia="Times New Roman" w:hAnsi="Times New Roman" w:cs="Times New Roman"/>
          <w:sz w:val="24"/>
          <w:szCs w:val="24"/>
          <w:lang w:val="en" w:eastAsia="en-AU"/>
        </w:rPr>
      </w:pPr>
      <w:r w:rsidRPr="00321502">
        <w:rPr>
          <w:rFonts w:ascii="Times New Roman" w:eastAsia="Times New Roman" w:hAnsi="Times New Roman" w:cs="Times New Roman"/>
          <w:sz w:val="24"/>
          <w:szCs w:val="24"/>
          <w:lang w:val="en" w:eastAsia="en-AU"/>
        </w:rPr>
        <w:t>1. This information is not available. The department did not record or capture this data in 2011–12.</w:t>
      </w:r>
    </w:p>
    <w:p w:rsidR="00321502" w:rsidRPr="00321502" w:rsidRDefault="00321502" w:rsidP="00321502">
      <w:pPr>
        <w:spacing w:before="100" w:beforeAutospacing="1" w:after="100" w:afterAutospacing="1" w:line="240" w:lineRule="auto"/>
        <w:rPr>
          <w:rFonts w:ascii="Times New Roman" w:eastAsia="Times New Roman" w:hAnsi="Times New Roman" w:cs="Times New Roman"/>
          <w:sz w:val="24"/>
          <w:szCs w:val="24"/>
          <w:lang w:val="en" w:eastAsia="en-AU"/>
        </w:rPr>
      </w:pPr>
      <w:r w:rsidRPr="00321502">
        <w:rPr>
          <w:rFonts w:ascii="Times New Roman" w:eastAsia="Times New Roman" w:hAnsi="Times New Roman" w:cs="Times New Roman"/>
          <w:sz w:val="24"/>
          <w:szCs w:val="24"/>
          <w:lang w:val="en" w:eastAsia="en-AU"/>
        </w:rPr>
        <w:t xml:space="preserve">2. The department joined the </w:t>
      </w:r>
      <w:proofErr w:type="spellStart"/>
      <w:r w:rsidRPr="00321502">
        <w:rPr>
          <w:rFonts w:ascii="Times New Roman" w:eastAsia="Times New Roman" w:hAnsi="Times New Roman" w:cs="Times New Roman"/>
          <w:sz w:val="24"/>
          <w:szCs w:val="24"/>
          <w:lang w:val="en" w:eastAsia="en-AU"/>
        </w:rPr>
        <w:t>FluoroCycle</w:t>
      </w:r>
      <w:proofErr w:type="spellEnd"/>
      <w:r w:rsidRPr="00321502">
        <w:rPr>
          <w:rFonts w:ascii="Times New Roman" w:eastAsia="Times New Roman" w:hAnsi="Times New Roman" w:cs="Times New Roman"/>
          <w:sz w:val="24"/>
          <w:szCs w:val="24"/>
          <w:lang w:val="en" w:eastAsia="en-AU"/>
        </w:rPr>
        <w:t xml:space="preserve"> programme in 2012–13. The number of fluorescent lamps was not captured and reported before joining the </w:t>
      </w:r>
      <w:proofErr w:type="spellStart"/>
      <w:r w:rsidRPr="00321502">
        <w:rPr>
          <w:rFonts w:ascii="Times New Roman" w:eastAsia="Times New Roman" w:hAnsi="Times New Roman" w:cs="Times New Roman"/>
          <w:sz w:val="24"/>
          <w:szCs w:val="24"/>
          <w:lang w:val="en" w:eastAsia="en-AU"/>
        </w:rPr>
        <w:t>FluoroCycle</w:t>
      </w:r>
      <w:proofErr w:type="spellEnd"/>
      <w:r w:rsidRPr="00321502">
        <w:rPr>
          <w:rFonts w:ascii="Times New Roman" w:eastAsia="Times New Roman" w:hAnsi="Times New Roman" w:cs="Times New Roman"/>
          <w:sz w:val="24"/>
          <w:szCs w:val="24"/>
          <w:lang w:val="en" w:eastAsia="en-AU"/>
        </w:rPr>
        <w:t xml:space="preserve"> programme.</w:t>
      </w:r>
    </w:p>
    <w:p w:rsidR="00321502" w:rsidRPr="00321502" w:rsidRDefault="00321502" w:rsidP="00321502">
      <w:pPr>
        <w:spacing w:before="100" w:beforeAutospacing="1" w:after="100" w:afterAutospacing="1" w:line="240" w:lineRule="auto"/>
        <w:rPr>
          <w:rFonts w:ascii="Times New Roman" w:eastAsia="Times New Roman" w:hAnsi="Times New Roman" w:cs="Times New Roman"/>
          <w:sz w:val="24"/>
          <w:szCs w:val="24"/>
          <w:lang w:val="en" w:eastAsia="en-AU"/>
        </w:rPr>
      </w:pPr>
      <w:r w:rsidRPr="00321502">
        <w:rPr>
          <w:rFonts w:ascii="Times New Roman" w:eastAsia="Times New Roman" w:hAnsi="Times New Roman" w:cs="Times New Roman"/>
          <w:sz w:val="24"/>
          <w:szCs w:val="24"/>
          <w:lang w:val="en" w:eastAsia="en-AU"/>
        </w:rPr>
        <w:t>3. Net greenhouse gas emissions—stationary energy reporting for 2013–14 is unavailable at the time of annual report preparation. This is due to delayed meter readings at small offices (and invoice receipt), which will have a material effect on overall energy and greenhouse gas emission reporting.</w:t>
      </w:r>
    </w:p>
    <w:p w:rsidR="003F72BE" w:rsidRPr="00321502" w:rsidRDefault="00321502" w:rsidP="00321502"/>
    <w:sectPr w:rsidR="003F72BE" w:rsidRPr="003215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502"/>
    <w:rsid w:val="00321502"/>
    <w:rsid w:val="005D412E"/>
    <w:rsid w:val="009C6B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5CB8E-E3C3-4FC7-A1DB-04BFB586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21502"/>
    <w:rPr>
      <w:b/>
      <w:bCs/>
    </w:rPr>
  </w:style>
  <w:style w:type="paragraph" w:customStyle="1" w:styleId="fs90">
    <w:name w:val="fs90"/>
    <w:basedOn w:val="Normal"/>
    <w:rsid w:val="0032150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817953">
      <w:bodyDiv w:val="1"/>
      <w:marLeft w:val="0"/>
      <w:marRight w:val="0"/>
      <w:marTop w:val="0"/>
      <w:marBottom w:val="0"/>
      <w:divBdr>
        <w:top w:val="none" w:sz="0" w:space="0" w:color="auto"/>
        <w:left w:val="none" w:sz="0" w:space="0" w:color="auto"/>
        <w:bottom w:val="none" w:sz="0" w:space="0" w:color="auto"/>
        <w:right w:val="none" w:sz="0" w:space="0" w:color="auto"/>
      </w:divBdr>
      <w:divsChild>
        <w:div w:id="203561626">
          <w:marLeft w:val="0"/>
          <w:marRight w:val="0"/>
          <w:marTop w:val="0"/>
          <w:marBottom w:val="0"/>
          <w:divBdr>
            <w:top w:val="none" w:sz="0" w:space="0" w:color="auto"/>
            <w:left w:val="none" w:sz="0" w:space="0" w:color="auto"/>
            <w:bottom w:val="none" w:sz="0" w:space="0" w:color="auto"/>
            <w:right w:val="none" w:sz="0" w:space="0" w:color="auto"/>
          </w:divBdr>
          <w:divsChild>
            <w:div w:id="1112090313">
              <w:marLeft w:val="0"/>
              <w:marRight w:val="0"/>
              <w:marTop w:val="0"/>
              <w:marBottom w:val="0"/>
              <w:divBdr>
                <w:top w:val="none" w:sz="0" w:space="0" w:color="auto"/>
                <w:left w:val="none" w:sz="0" w:space="0" w:color="auto"/>
                <w:bottom w:val="none" w:sz="0" w:space="0" w:color="auto"/>
                <w:right w:val="none" w:sz="0" w:space="0" w:color="auto"/>
              </w:divBdr>
              <w:divsChild>
                <w:div w:id="1220287718">
                  <w:marLeft w:val="0"/>
                  <w:marRight w:val="0"/>
                  <w:marTop w:val="0"/>
                  <w:marBottom w:val="0"/>
                  <w:divBdr>
                    <w:top w:val="none" w:sz="0" w:space="0" w:color="auto"/>
                    <w:left w:val="none" w:sz="0" w:space="0" w:color="auto"/>
                    <w:bottom w:val="none" w:sz="0" w:space="0" w:color="auto"/>
                    <w:right w:val="none" w:sz="0" w:space="0" w:color="auto"/>
                  </w:divBdr>
                  <w:divsChild>
                    <w:div w:id="1536383124">
                      <w:marLeft w:val="0"/>
                      <w:marRight w:val="0"/>
                      <w:marTop w:val="0"/>
                      <w:marBottom w:val="0"/>
                      <w:divBdr>
                        <w:top w:val="none" w:sz="0" w:space="0" w:color="auto"/>
                        <w:left w:val="none" w:sz="0" w:space="0" w:color="auto"/>
                        <w:bottom w:val="none" w:sz="0" w:space="0" w:color="auto"/>
                        <w:right w:val="none" w:sz="0" w:space="0" w:color="auto"/>
                      </w:divBdr>
                      <w:divsChild>
                        <w:div w:id="269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819</Characters>
  <Application>Microsoft Office Word</Application>
  <DocSecurity>0</DocSecurity>
  <Lines>6</Lines>
  <Paragraphs>1</Paragraphs>
  <ScaleCrop>false</ScaleCrop>
  <Company>Australian Government</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2014-11-12T22:56:00Z</dcterms:created>
  <dcterms:modified xsi:type="dcterms:W3CDTF">2014-11-12T22:57:00Z</dcterms:modified>
</cp:coreProperties>
</file>