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80: Results of discrepancies released for action in 2013–14"/>
      </w:tblPr>
      <w:tblGrid>
        <w:gridCol w:w="6645"/>
        <w:gridCol w:w="934"/>
        <w:gridCol w:w="1437"/>
      </w:tblGrid>
      <w:tr w:rsidR="00C11F33" w:rsidRPr="00C11F33" w:rsidTr="00C11F33">
        <w:trPr>
          <w:tblHeader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80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Results of discrepancies released for action in 2013–14</w:t>
            </w:r>
          </w:p>
        </w:tc>
      </w:tr>
      <w:tr w:rsidR="00C11F33" w:rsidRPr="00C11F33" w:rsidTr="00C11F3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Discrepancies/cases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Proportion</w:t>
            </w: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en-AU"/>
              </w:rPr>
              <w:t>8</w:t>
            </w:r>
            <w:r w:rsidRPr="00C1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 %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Discrepancies which resulted in a notice under section 11 of the </w:t>
            </w:r>
            <w:r w:rsidRPr="00C11F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AU"/>
              </w:rPr>
              <w:t>Data-matching Program (Assistance and Tax) Act 1990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being sent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27,404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75.6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Discrepancies which resulted in action being taken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18,005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49.7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Cases in which action proceeded despite a dispute about the accuracy of the data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213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0.01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Discrepancies which did not proceed to action after the individual was contacted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8,556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23.6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Cases where an overpayment was identified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21,392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59.0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Cases where recovery action was initiated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20,362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9</w:t>
            </w:r>
          </w:p>
        </w:tc>
      </w:tr>
      <w:tr w:rsidR="00C11F33" w:rsidRPr="00C11F33" w:rsidTr="00C11F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Cases where the debt was fully recovered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17,571</w:t>
            </w:r>
          </w:p>
        </w:tc>
        <w:tc>
          <w:tcPr>
            <w:tcW w:w="0" w:type="auto"/>
            <w:vAlign w:val="center"/>
            <w:hideMark/>
          </w:tcPr>
          <w:p w:rsidR="00C11F33" w:rsidRPr="00C11F33" w:rsidRDefault="00C11F33" w:rsidP="00C1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NA</w:t>
            </w:r>
            <w:r w:rsidRPr="00C11F3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9</w:t>
            </w:r>
          </w:p>
        </w:tc>
      </w:tr>
    </w:tbl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1. Section 11 of the </w:t>
      </w:r>
      <w:r w:rsidRPr="00C11F33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AU"/>
        </w:rPr>
        <w:t>Data-matching Program (Assistance and Tax) Act 1990</w:t>
      </w: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 xml:space="preserve"> requires that people must be given written notice of any proposed action as a result of information gained through the programme. People have 28 days to respond.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2. Following the completion of a cycle, departments undertake further refinements before releasing the discrepancies for follow-up action. These refinements are designed to reduce the number of unproductive discrepancies that are released.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In any year a small number of people challenge the accuracy of the information on which the proposed action is based—usually because they do not fully understand conditions of eligibility for payment.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4. There will always be a number of cases where people are sent a notice of proposed action but the action does not proceed. In these cases people, or a third party such as an employer, are able to provide details to show that the payments received were correct.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5. The statistics show the number of overpayment cases identified, including the number of debts waived.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6. The statistics show the number of cases where recovery action was commenced on a debt. The department recovers debts in two ways, either through withholding part of a customer’s entitlement or through cash repayments.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7. Recovery of a debt can take place over a number of years and the number and value of debts raised in a year does not necessarily correspond to the number and value of recoveries.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8. Some percentages may be over 100 per cent because more cases were completed than were started. Cases may be counted as started in one year and completed in the next.</w:t>
      </w:r>
    </w:p>
    <w:p w:rsidR="00C11F33" w:rsidRPr="00C11F33" w:rsidRDefault="00C11F33" w:rsidP="00C11F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9. The initiation and completion of recovery action for debts can occur in different financial years to when a d</w:t>
      </w:r>
      <w:bookmarkStart w:id="0" w:name="_GoBack"/>
      <w:bookmarkEnd w:id="0"/>
      <w:r w:rsidRPr="00C11F33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ebt is first identified.</w:t>
      </w:r>
    </w:p>
    <w:p w:rsidR="003F72BE" w:rsidRDefault="00C11F33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33"/>
    <w:rsid w:val="005D412E"/>
    <w:rsid w:val="009C6B64"/>
    <w:rsid w:val="00C1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A250B-6661-4114-A3CE-27AFC2CE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1F33"/>
    <w:rPr>
      <w:b/>
      <w:bCs/>
    </w:rPr>
  </w:style>
  <w:style w:type="character" w:styleId="Emphasis">
    <w:name w:val="Emphasis"/>
    <w:basedOn w:val="DefaultParagraphFont"/>
    <w:uiPriority w:val="20"/>
    <w:qFormat/>
    <w:rsid w:val="00C11F33"/>
    <w:rPr>
      <w:i/>
      <w:iCs/>
    </w:rPr>
  </w:style>
  <w:style w:type="paragraph" w:customStyle="1" w:styleId="fs90">
    <w:name w:val="fs90"/>
    <w:basedOn w:val="Normal"/>
    <w:rsid w:val="00C1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0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Company>Australian Government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2014-11-12T22:45:00Z</dcterms:created>
  <dcterms:modified xsi:type="dcterms:W3CDTF">2014-11-12T22:46:00Z</dcterms:modified>
</cp:coreProperties>
</file>