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Description w:val="Table 60: Centrelink payments merit review outcomes"/>
      </w:tblPr>
      <w:tblGrid>
        <w:gridCol w:w="3035"/>
        <w:gridCol w:w="920"/>
        <w:gridCol w:w="920"/>
        <w:gridCol w:w="920"/>
        <w:gridCol w:w="920"/>
        <w:gridCol w:w="920"/>
        <w:gridCol w:w="935"/>
      </w:tblGrid>
      <w:tr w:rsidR="00314255" w:rsidRPr="00314255" w:rsidTr="00314255">
        <w:trPr>
          <w:tblHeader/>
          <w:tblCellSpacing w:w="15" w:type="dxa"/>
        </w:trPr>
        <w:tc>
          <w:tcPr>
            <w:tcW w:w="0" w:type="auto"/>
            <w:gridSpan w:val="7"/>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b/>
                <w:bCs/>
                <w:sz w:val="24"/>
                <w:szCs w:val="24"/>
                <w:lang w:eastAsia="en-AU"/>
              </w:rPr>
              <w:t>Table 60:</w:t>
            </w:r>
            <w:r w:rsidRPr="00314255">
              <w:rPr>
                <w:rFonts w:ascii="Times New Roman" w:eastAsia="Times New Roman" w:hAnsi="Times New Roman" w:cs="Times New Roman"/>
                <w:sz w:val="24"/>
                <w:szCs w:val="24"/>
                <w:lang w:eastAsia="en-AU"/>
              </w:rPr>
              <w:t xml:space="preserve"> Centrelink payments merit review outcomes</w:t>
            </w:r>
          </w:p>
        </w:tc>
      </w:tr>
      <w:tr w:rsidR="00314255" w:rsidRPr="00314255" w:rsidTr="00314255">
        <w:trPr>
          <w:tblHeader/>
          <w:tblCellSpacing w:w="15" w:type="dxa"/>
        </w:trPr>
        <w:tc>
          <w:tcPr>
            <w:tcW w:w="0" w:type="auto"/>
            <w:vAlign w:val="center"/>
            <w:hideMark/>
          </w:tcPr>
          <w:p w:rsidR="00314255" w:rsidRPr="00314255" w:rsidRDefault="00314255" w:rsidP="00314255">
            <w:pPr>
              <w:spacing w:after="0" w:line="240" w:lineRule="auto"/>
              <w:jc w:val="center"/>
              <w:rPr>
                <w:rFonts w:ascii="Times New Roman" w:eastAsia="Times New Roman" w:hAnsi="Times New Roman" w:cs="Times New Roman"/>
                <w:b/>
                <w:bCs/>
                <w:sz w:val="24"/>
                <w:szCs w:val="24"/>
                <w:lang w:eastAsia="en-AU"/>
              </w:rPr>
            </w:pPr>
            <w:r w:rsidRPr="00314255">
              <w:rPr>
                <w:rFonts w:ascii="Times New Roman" w:eastAsia="Times New Roman" w:hAnsi="Times New Roman" w:cs="Times New Roman"/>
                <w:b/>
                <w:bCs/>
                <w:sz w:val="24"/>
                <w:szCs w:val="24"/>
                <w:lang w:eastAsia="en-AU"/>
              </w:rPr>
              <w:t> </w:t>
            </w:r>
          </w:p>
        </w:tc>
        <w:tc>
          <w:tcPr>
            <w:tcW w:w="0" w:type="auto"/>
            <w:gridSpan w:val="3"/>
            <w:vAlign w:val="center"/>
            <w:hideMark/>
          </w:tcPr>
          <w:p w:rsidR="00314255" w:rsidRPr="00314255" w:rsidRDefault="00314255" w:rsidP="00314255">
            <w:pPr>
              <w:spacing w:after="0" w:line="240" w:lineRule="auto"/>
              <w:jc w:val="center"/>
              <w:rPr>
                <w:rFonts w:ascii="Times New Roman" w:eastAsia="Times New Roman" w:hAnsi="Times New Roman" w:cs="Times New Roman"/>
                <w:b/>
                <w:bCs/>
                <w:sz w:val="24"/>
                <w:szCs w:val="24"/>
                <w:lang w:eastAsia="en-AU"/>
              </w:rPr>
            </w:pPr>
            <w:r w:rsidRPr="00314255">
              <w:rPr>
                <w:rFonts w:ascii="Times New Roman" w:eastAsia="Times New Roman" w:hAnsi="Times New Roman" w:cs="Times New Roman"/>
                <w:b/>
                <w:bCs/>
                <w:sz w:val="24"/>
                <w:szCs w:val="24"/>
                <w:lang w:eastAsia="en-AU"/>
              </w:rPr>
              <w:t>Unchanged decisions</w:t>
            </w:r>
            <w:r w:rsidRPr="00314255">
              <w:rPr>
                <w:rFonts w:ascii="Times New Roman" w:eastAsia="Times New Roman" w:hAnsi="Times New Roman" w:cs="Times New Roman"/>
                <w:b/>
                <w:bCs/>
                <w:sz w:val="24"/>
                <w:szCs w:val="24"/>
                <w:vertAlign w:val="superscript"/>
                <w:lang w:eastAsia="en-AU"/>
              </w:rPr>
              <w:t>2</w:t>
            </w:r>
          </w:p>
        </w:tc>
        <w:tc>
          <w:tcPr>
            <w:tcW w:w="0" w:type="auto"/>
            <w:gridSpan w:val="3"/>
            <w:vAlign w:val="center"/>
            <w:hideMark/>
          </w:tcPr>
          <w:p w:rsidR="00314255" w:rsidRPr="00314255" w:rsidRDefault="00314255" w:rsidP="00314255">
            <w:pPr>
              <w:spacing w:after="0" w:line="240" w:lineRule="auto"/>
              <w:jc w:val="center"/>
              <w:rPr>
                <w:rFonts w:ascii="Times New Roman" w:eastAsia="Times New Roman" w:hAnsi="Times New Roman" w:cs="Times New Roman"/>
                <w:b/>
                <w:bCs/>
                <w:sz w:val="24"/>
                <w:szCs w:val="24"/>
                <w:lang w:eastAsia="en-AU"/>
              </w:rPr>
            </w:pPr>
            <w:r w:rsidRPr="00314255">
              <w:rPr>
                <w:rFonts w:ascii="Times New Roman" w:eastAsia="Times New Roman" w:hAnsi="Times New Roman" w:cs="Times New Roman"/>
                <w:b/>
                <w:bCs/>
                <w:sz w:val="24"/>
                <w:szCs w:val="24"/>
                <w:lang w:eastAsia="en-AU"/>
              </w:rPr>
              <w:t>Changed decisions</w:t>
            </w:r>
          </w:p>
        </w:tc>
      </w:tr>
      <w:tr w:rsidR="00314255" w:rsidRPr="00314255" w:rsidTr="00314255">
        <w:trPr>
          <w:tblCellSpacing w:w="15" w:type="dxa"/>
        </w:trPr>
        <w:tc>
          <w:tcPr>
            <w:tcW w:w="0" w:type="auto"/>
            <w:vAlign w:val="center"/>
            <w:hideMark/>
          </w:tcPr>
          <w:p w:rsidR="00314255" w:rsidRPr="00314255" w:rsidRDefault="00314255" w:rsidP="00314255">
            <w:pPr>
              <w:spacing w:after="0" w:line="240" w:lineRule="auto"/>
              <w:jc w:val="center"/>
              <w:rPr>
                <w:rFonts w:ascii="Times New Roman" w:eastAsia="Times New Roman" w:hAnsi="Times New Roman" w:cs="Times New Roman"/>
                <w:b/>
                <w:bCs/>
                <w:sz w:val="24"/>
                <w:szCs w:val="24"/>
                <w:lang w:eastAsia="en-AU"/>
              </w:rPr>
            </w:pPr>
            <w:r w:rsidRPr="00314255">
              <w:rPr>
                <w:rFonts w:ascii="Times New Roman" w:eastAsia="Times New Roman" w:hAnsi="Times New Roman" w:cs="Times New Roman"/>
                <w:b/>
                <w:bCs/>
                <w:sz w:val="24"/>
                <w:szCs w:val="24"/>
                <w:lang w:eastAsia="en-AU"/>
              </w:rPr>
              <w:t> </w:t>
            </w:r>
          </w:p>
        </w:tc>
        <w:tc>
          <w:tcPr>
            <w:tcW w:w="0" w:type="auto"/>
            <w:vAlign w:val="center"/>
            <w:hideMark/>
          </w:tcPr>
          <w:p w:rsidR="00314255" w:rsidRPr="00314255" w:rsidRDefault="00314255" w:rsidP="00314255">
            <w:pPr>
              <w:spacing w:after="0" w:line="240" w:lineRule="auto"/>
              <w:jc w:val="center"/>
              <w:rPr>
                <w:rFonts w:ascii="Times New Roman" w:eastAsia="Times New Roman" w:hAnsi="Times New Roman" w:cs="Times New Roman"/>
                <w:b/>
                <w:bCs/>
                <w:sz w:val="24"/>
                <w:szCs w:val="24"/>
                <w:lang w:eastAsia="en-AU"/>
              </w:rPr>
            </w:pPr>
            <w:r w:rsidRPr="00314255">
              <w:rPr>
                <w:rFonts w:ascii="Times New Roman" w:eastAsia="Times New Roman" w:hAnsi="Times New Roman" w:cs="Times New Roman"/>
                <w:b/>
                <w:bCs/>
                <w:sz w:val="24"/>
                <w:szCs w:val="24"/>
                <w:lang w:eastAsia="en-AU"/>
              </w:rPr>
              <w:t>2011–12</w:t>
            </w:r>
          </w:p>
        </w:tc>
        <w:tc>
          <w:tcPr>
            <w:tcW w:w="0" w:type="auto"/>
            <w:vAlign w:val="center"/>
            <w:hideMark/>
          </w:tcPr>
          <w:p w:rsidR="00314255" w:rsidRPr="00314255" w:rsidRDefault="00314255" w:rsidP="00314255">
            <w:pPr>
              <w:spacing w:after="0" w:line="240" w:lineRule="auto"/>
              <w:jc w:val="center"/>
              <w:rPr>
                <w:rFonts w:ascii="Times New Roman" w:eastAsia="Times New Roman" w:hAnsi="Times New Roman" w:cs="Times New Roman"/>
                <w:b/>
                <w:bCs/>
                <w:sz w:val="24"/>
                <w:szCs w:val="24"/>
                <w:lang w:eastAsia="en-AU"/>
              </w:rPr>
            </w:pPr>
            <w:r w:rsidRPr="00314255">
              <w:rPr>
                <w:rFonts w:ascii="Times New Roman" w:eastAsia="Times New Roman" w:hAnsi="Times New Roman" w:cs="Times New Roman"/>
                <w:b/>
                <w:bCs/>
                <w:sz w:val="24"/>
                <w:szCs w:val="24"/>
                <w:lang w:eastAsia="en-AU"/>
              </w:rPr>
              <w:t>2012–13</w:t>
            </w:r>
          </w:p>
        </w:tc>
        <w:tc>
          <w:tcPr>
            <w:tcW w:w="0" w:type="auto"/>
            <w:vAlign w:val="center"/>
            <w:hideMark/>
          </w:tcPr>
          <w:p w:rsidR="00314255" w:rsidRPr="00314255" w:rsidRDefault="00314255" w:rsidP="00314255">
            <w:pPr>
              <w:spacing w:after="0" w:line="240" w:lineRule="auto"/>
              <w:jc w:val="center"/>
              <w:rPr>
                <w:rFonts w:ascii="Times New Roman" w:eastAsia="Times New Roman" w:hAnsi="Times New Roman" w:cs="Times New Roman"/>
                <w:b/>
                <w:bCs/>
                <w:sz w:val="24"/>
                <w:szCs w:val="24"/>
                <w:lang w:eastAsia="en-AU"/>
              </w:rPr>
            </w:pPr>
            <w:r w:rsidRPr="00314255">
              <w:rPr>
                <w:rFonts w:ascii="Times New Roman" w:eastAsia="Times New Roman" w:hAnsi="Times New Roman" w:cs="Times New Roman"/>
                <w:b/>
                <w:bCs/>
                <w:sz w:val="24"/>
                <w:szCs w:val="24"/>
                <w:lang w:eastAsia="en-AU"/>
              </w:rPr>
              <w:t>2013–14</w:t>
            </w:r>
          </w:p>
        </w:tc>
        <w:tc>
          <w:tcPr>
            <w:tcW w:w="0" w:type="auto"/>
            <w:vAlign w:val="center"/>
            <w:hideMark/>
          </w:tcPr>
          <w:p w:rsidR="00314255" w:rsidRPr="00314255" w:rsidRDefault="00314255" w:rsidP="00314255">
            <w:pPr>
              <w:spacing w:after="0" w:line="240" w:lineRule="auto"/>
              <w:jc w:val="center"/>
              <w:rPr>
                <w:rFonts w:ascii="Times New Roman" w:eastAsia="Times New Roman" w:hAnsi="Times New Roman" w:cs="Times New Roman"/>
                <w:b/>
                <w:bCs/>
                <w:sz w:val="24"/>
                <w:szCs w:val="24"/>
                <w:lang w:eastAsia="en-AU"/>
              </w:rPr>
            </w:pPr>
            <w:r w:rsidRPr="00314255">
              <w:rPr>
                <w:rFonts w:ascii="Times New Roman" w:eastAsia="Times New Roman" w:hAnsi="Times New Roman" w:cs="Times New Roman"/>
                <w:b/>
                <w:bCs/>
                <w:sz w:val="24"/>
                <w:szCs w:val="24"/>
                <w:lang w:eastAsia="en-AU"/>
              </w:rPr>
              <w:t>2011–12</w:t>
            </w:r>
          </w:p>
        </w:tc>
        <w:tc>
          <w:tcPr>
            <w:tcW w:w="0" w:type="auto"/>
            <w:vAlign w:val="center"/>
            <w:hideMark/>
          </w:tcPr>
          <w:p w:rsidR="00314255" w:rsidRPr="00314255" w:rsidRDefault="00314255" w:rsidP="00314255">
            <w:pPr>
              <w:spacing w:after="0" w:line="240" w:lineRule="auto"/>
              <w:jc w:val="center"/>
              <w:rPr>
                <w:rFonts w:ascii="Times New Roman" w:eastAsia="Times New Roman" w:hAnsi="Times New Roman" w:cs="Times New Roman"/>
                <w:b/>
                <w:bCs/>
                <w:sz w:val="24"/>
                <w:szCs w:val="24"/>
                <w:lang w:eastAsia="en-AU"/>
              </w:rPr>
            </w:pPr>
            <w:r w:rsidRPr="00314255">
              <w:rPr>
                <w:rFonts w:ascii="Times New Roman" w:eastAsia="Times New Roman" w:hAnsi="Times New Roman" w:cs="Times New Roman"/>
                <w:b/>
                <w:bCs/>
                <w:sz w:val="24"/>
                <w:szCs w:val="24"/>
                <w:lang w:eastAsia="en-AU"/>
              </w:rPr>
              <w:t>2012–13</w:t>
            </w:r>
          </w:p>
        </w:tc>
        <w:tc>
          <w:tcPr>
            <w:tcW w:w="0" w:type="auto"/>
            <w:vAlign w:val="center"/>
            <w:hideMark/>
          </w:tcPr>
          <w:p w:rsidR="00314255" w:rsidRPr="00314255" w:rsidRDefault="00314255" w:rsidP="00314255">
            <w:pPr>
              <w:spacing w:after="0" w:line="240" w:lineRule="auto"/>
              <w:jc w:val="center"/>
              <w:rPr>
                <w:rFonts w:ascii="Times New Roman" w:eastAsia="Times New Roman" w:hAnsi="Times New Roman" w:cs="Times New Roman"/>
                <w:b/>
                <w:bCs/>
                <w:sz w:val="24"/>
                <w:szCs w:val="24"/>
                <w:lang w:eastAsia="en-AU"/>
              </w:rPr>
            </w:pPr>
            <w:r w:rsidRPr="00314255">
              <w:rPr>
                <w:rFonts w:ascii="Times New Roman" w:eastAsia="Times New Roman" w:hAnsi="Times New Roman" w:cs="Times New Roman"/>
                <w:b/>
                <w:bCs/>
                <w:sz w:val="24"/>
                <w:szCs w:val="24"/>
                <w:lang w:eastAsia="en-AU"/>
              </w:rPr>
              <w:t>2013–14</w:t>
            </w:r>
          </w:p>
        </w:tc>
      </w:tr>
      <w:tr w:rsidR="00314255" w:rsidRPr="00314255" w:rsidTr="00314255">
        <w:trPr>
          <w:tblCellSpacing w:w="15" w:type="dxa"/>
        </w:trPr>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Internal review officer</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67.3%</w:t>
            </w:r>
            <w:r w:rsidRPr="00314255">
              <w:rPr>
                <w:rFonts w:ascii="Times New Roman" w:eastAsia="Times New Roman" w:hAnsi="Times New Roman" w:cs="Times New Roman"/>
                <w:sz w:val="24"/>
                <w:szCs w:val="24"/>
                <w:lang w:eastAsia="en-AU"/>
              </w:rPr>
              <w:br/>
              <w:t>59,390</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63.9%</w:t>
            </w:r>
            <w:r w:rsidRPr="00314255">
              <w:rPr>
                <w:rFonts w:ascii="Times New Roman" w:eastAsia="Times New Roman" w:hAnsi="Times New Roman" w:cs="Times New Roman"/>
                <w:sz w:val="24"/>
                <w:szCs w:val="24"/>
                <w:lang w:eastAsia="en-AU"/>
              </w:rPr>
              <w:br/>
              <w:t>78,960</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65.3%</w:t>
            </w:r>
            <w:r w:rsidRPr="00314255">
              <w:rPr>
                <w:rFonts w:ascii="Times New Roman" w:eastAsia="Times New Roman" w:hAnsi="Times New Roman" w:cs="Times New Roman"/>
                <w:sz w:val="24"/>
                <w:szCs w:val="24"/>
                <w:lang w:eastAsia="en-AU"/>
              </w:rPr>
              <w:br/>
              <w:t>80,370</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32.7%</w:t>
            </w:r>
            <w:r w:rsidRPr="00314255">
              <w:rPr>
                <w:rFonts w:ascii="Times New Roman" w:eastAsia="Times New Roman" w:hAnsi="Times New Roman" w:cs="Times New Roman"/>
                <w:sz w:val="24"/>
                <w:szCs w:val="24"/>
                <w:lang w:eastAsia="en-AU"/>
              </w:rPr>
              <w:br/>
              <w:t>28,811</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36.1%</w:t>
            </w:r>
            <w:r w:rsidRPr="00314255">
              <w:rPr>
                <w:rFonts w:ascii="Times New Roman" w:eastAsia="Times New Roman" w:hAnsi="Times New Roman" w:cs="Times New Roman"/>
                <w:sz w:val="24"/>
                <w:szCs w:val="24"/>
                <w:lang w:eastAsia="en-AU"/>
              </w:rPr>
              <w:br/>
              <w:t>44,566</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34.7%</w:t>
            </w:r>
            <w:r w:rsidRPr="00314255">
              <w:rPr>
                <w:rFonts w:ascii="Times New Roman" w:eastAsia="Times New Roman" w:hAnsi="Times New Roman" w:cs="Times New Roman"/>
                <w:sz w:val="24"/>
                <w:szCs w:val="24"/>
                <w:lang w:eastAsia="en-AU"/>
              </w:rPr>
              <w:br/>
              <w:t>42,662</w:t>
            </w:r>
          </w:p>
        </w:tc>
      </w:tr>
      <w:tr w:rsidR="00314255" w:rsidRPr="00314255" w:rsidTr="00314255">
        <w:trPr>
          <w:tblCellSpacing w:w="15" w:type="dxa"/>
        </w:trPr>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proofErr w:type="spellStart"/>
            <w:r w:rsidRPr="00314255">
              <w:rPr>
                <w:rFonts w:ascii="Times New Roman" w:eastAsia="Times New Roman" w:hAnsi="Times New Roman" w:cs="Times New Roman"/>
                <w:sz w:val="24"/>
                <w:szCs w:val="24"/>
                <w:lang w:eastAsia="en-AU"/>
              </w:rPr>
              <w:t>SSAT</w:t>
            </w:r>
            <w:proofErr w:type="spellEnd"/>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73.1%</w:t>
            </w:r>
            <w:r w:rsidRPr="00314255">
              <w:rPr>
                <w:rFonts w:ascii="Times New Roman" w:eastAsia="Times New Roman" w:hAnsi="Times New Roman" w:cs="Times New Roman"/>
                <w:sz w:val="24"/>
                <w:szCs w:val="24"/>
                <w:lang w:eastAsia="en-AU"/>
              </w:rPr>
              <w:br/>
              <w:t>7,091</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76.9%</w:t>
            </w:r>
            <w:r w:rsidRPr="00314255">
              <w:rPr>
                <w:rFonts w:ascii="Times New Roman" w:eastAsia="Times New Roman" w:hAnsi="Times New Roman" w:cs="Times New Roman"/>
                <w:sz w:val="24"/>
                <w:szCs w:val="24"/>
                <w:lang w:eastAsia="en-AU"/>
              </w:rPr>
              <w:br/>
              <w:t>9,002</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75.1%</w:t>
            </w:r>
            <w:r w:rsidRPr="00314255">
              <w:rPr>
                <w:rFonts w:ascii="Times New Roman" w:eastAsia="Times New Roman" w:hAnsi="Times New Roman" w:cs="Times New Roman"/>
                <w:sz w:val="24"/>
                <w:szCs w:val="24"/>
                <w:lang w:eastAsia="en-AU"/>
              </w:rPr>
              <w:br/>
              <w:t>7,686</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26.9%</w:t>
            </w:r>
            <w:r w:rsidRPr="00314255">
              <w:rPr>
                <w:rFonts w:ascii="Times New Roman" w:eastAsia="Times New Roman" w:hAnsi="Times New Roman" w:cs="Times New Roman"/>
                <w:sz w:val="24"/>
                <w:szCs w:val="24"/>
                <w:lang w:eastAsia="en-AU"/>
              </w:rPr>
              <w:br/>
              <w:t>2,608</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23.1%</w:t>
            </w:r>
            <w:r w:rsidRPr="00314255">
              <w:rPr>
                <w:rFonts w:ascii="Times New Roman" w:eastAsia="Times New Roman" w:hAnsi="Times New Roman" w:cs="Times New Roman"/>
                <w:sz w:val="24"/>
                <w:szCs w:val="24"/>
                <w:lang w:eastAsia="en-AU"/>
              </w:rPr>
              <w:br/>
              <w:t>2,707</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24.9%</w:t>
            </w:r>
            <w:r w:rsidRPr="00314255">
              <w:rPr>
                <w:rFonts w:ascii="Times New Roman" w:eastAsia="Times New Roman" w:hAnsi="Times New Roman" w:cs="Times New Roman"/>
                <w:sz w:val="24"/>
                <w:szCs w:val="24"/>
                <w:lang w:eastAsia="en-AU"/>
              </w:rPr>
              <w:br/>
              <w:t>2,548</w:t>
            </w:r>
          </w:p>
        </w:tc>
      </w:tr>
      <w:tr w:rsidR="00314255" w:rsidRPr="00314255" w:rsidTr="00314255">
        <w:trPr>
          <w:tblCellSpacing w:w="15" w:type="dxa"/>
        </w:trPr>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AAT—customer applications</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70.2%</w:t>
            </w:r>
            <w:r w:rsidRPr="00314255">
              <w:rPr>
                <w:rFonts w:ascii="Times New Roman" w:eastAsia="Times New Roman" w:hAnsi="Times New Roman" w:cs="Times New Roman"/>
                <w:sz w:val="24"/>
                <w:szCs w:val="24"/>
                <w:lang w:eastAsia="en-AU"/>
              </w:rPr>
              <w:br/>
              <w:t>1,131</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92.5%</w:t>
            </w:r>
            <w:r w:rsidRPr="00314255">
              <w:rPr>
                <w:rFonts w:ascii="Times New Roman" w:eastAsia="Times New Roman" w:hAnsi="Times New Roman" w:cs="Times New Roman"/>
                <w:sz w:val="24"/>
                <w:szCs w:val="24"/>
                <w:lang w:eastAsia="en-AU"/>
              </w:rPr>
              <w:br/>
              <w:t>1,651</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75.2%</w:t>
            </w:r>
            <w:r w:rsidRPr="00314255">
              <w:rPr>
                <w:rFonts w:ascii="Times New Roman" w:eastAsia="Times New Roman" w:hAnsi="Times New Roman" w:cs="Times New Roman"/>
                <w:sz w:val="24"/>
                <w:szCs w:val="24"/>
                <w:lang w:eastAsia="en-AU"/>
              </w:rPr>
              <w:br/>
              <w:t>1,416</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29.8%</w:t>
            </w:r>
            <w:r w:rsidRPr="00314255">
              <w:rPr>
                <w:rFonts w:ascii="Times New Roman" w:eastAsia="Times New Roman" w:hAnsi="Times New Roman" w:cs="Times New Roman"/>
                <w:sz w:val="24"/>
                <w:szCs w:val="24"/>
                <w:lang w:eastAsia="en-AU"/>
              </w:rPr>
              <w:br/>
              <w:t>479</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7.5%</w:t>
            </w:r>
            <w:r w:rsidRPr="00314255">
              <w:rPr>
                <w:rFonts w:ascii="Times New Roman" w:eastAsia="Times New Roman" w:hAnsi="Times New Roman" w:cs="Times New Roman"/>
                <w:sz w:val="24"/>
                <w:szCs w:val="24"/>
                <w:lang w:eastAsia="en-AU"/>
              </w:rPr>
              <w:br/>
              <w:t>134</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24.8%</w:t>
            </w:r>
            <w:r w:rsidRPr="00314255">
              <w:rPr>
                <w:rFonts w:ascii="Times New Roman" w:eastAsia="Times New Roman" w:hAnsi="Times New Roman" w:cs="Times New Roman"/>
                <w:sz w:val="24"/>
                <w:szCs w:val="24"/>
                <w:lang w:eastAsia="en-AU"/>
              </w:rPr>
              <w:br/>
              <w:t>468</w:t>
            </w:r>
          </w:p>
        </w:tc>
      </w:tr>
      <w:tr w:rsidR="00314255" w:rsidRPr="00314255" w:rsidTr="00314255">
        <w:trPr>
          <w:tblCellSpacing w:w="15" w:type="dxa"/>
        </w:trPr>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AAT—Secretary applications</w:t>
            </w:r>
            <w:r w:rsidRPr="00314255">
              <w:rPr>
                <w:rFonts w:ascii="Times New Roman" w:eastAsia="Times New Roman" w:hAnsi="Times New Roman" w:cs="Times New Roman"/>
                <w:sz w:val="24"/>
                <w:szCs w:val="24"/>
                <w:vertAlign w:val="superscript"/>
                <w:lang w:eastAsia="en-AU"/>
              </w:rPr>
              <w:t>1</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74.4%</w:t>
            </w:r>
            <w:r w:rsidRPr="00314255">
              <w:rPr>
                <w:rFonts w:ascii="Times New Roman" w:eastAsia="Times New Roman" w:hAnsi="Times New Roman" w:cs="Times New Roman"/>
                <w:sz w:val="24"/>
                <w:szCs w:val="24"/>
                <w:lang w:eastAsia="en-AU"/>
              </w:rPr>
              <w:br/>
              <w:t>32</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57.1%</w:t>
            </w:r>
            <w:r w:rsidRPr="00314255">
              <w:rPr>
                <w:rFonts w:ascii="Times New Roman" w:eastAsia="Times New Roman" w:hAnsi="Times New Roman" w:cs="Times New Roman"/>
                <w:sz w:val="24"/>
                <w:szCs w:val="24"/>
                <w:lang w:eastAsia="en-AU"/>
              </w:rPr>
              <w:br/>
              <w:t>28</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73.3%</w:t>
            </w:r>
            <w:r w:rsidRPr="00314255">
              <w:rPr>
                <w:rFonts w:ascii="Times New Roman" w:eastAsia="Times New Roman" w:hAnsi="Times New Roman" w:cs="Times New Roman"/>
                <w:sz w:val="24"/>
                <w:szCs w:val="24"/>
                <w:lang w:eastAsia="en-AU"/>
              </w:rPr>
              <w:br/>
              <w:t>22</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25.6%</w:t>
            </w:r>
            <w:r w:rsidRPr="00314255">
              <w:rPr>
                <w:rFonts w:ascii="Times New Roman" w:eastAsia="Times New Roman" w:hAnsi="Times New Roman" w:cs="Times New Roman"/>
                <w:sz w:val="24"/>
                <w:szCs w:val="24"/>
                <w:lang w:eastAsia="en-AU"/>
              </w:rPr>
              <w:br/>
              <w:t>11</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42.9%</w:t>
            </w:r>
            <w:r w:rsidRPr="00314255">
              <w:rPr>
                <w:rFonts w:ascii="Times New Roman" w:eastAsia="Times New Roman" w:hAnsi="Times New Roman" w:cs="Times New Roman"/>
                <w:sz w:val="24"/>
                <w:szCs w:val="24"/>
                <w:lang w:eastAsia="en-AU"/>
              </w:rPr>
              <w:br/>
              <w:t>21</w:t>
            </w:r>
          </w:p>
        </w:tc>
        <w:tc>
          <w:tcPr>
            <w:tcW w:w="0" w:type="auto"/>
            <w:vAlign w:val="center"/>
            <w:hideMark/>
          </w:tcPr>
          <w:p w:rsidR="00314255" w:rsidRPr="00314255" w:rsidRDefault="00314255" w:rsidP="00314255">
            <w:pPr>
              <w:spacing w:after="0" w:line="240" w:lineRule="auto"/>
              <w:rPr>
                <w:rFonts w:ascii="Times New Roman" w:eastAsia="Times New Roman" w:hAnsi="Times New Roman" w:cs="Times New Roman"/>
                <w:sz w:val="24"/>
                <w:szCs w:val="24"/>
                <w:lang w:eastAsia="en-AU"/>
              </w:rPr>
            </w:pPr>
            <w:r w:rsidRPr="00314255">
              <w:rPr>
                <w:rFonts w:ascii="Times New Roman" w:eastAsia="Times New Roman" w:hAnsi="Times New Roman" w:cs="Times New Roman"/>
                <w:sz w:val="24"/>
                <w:szCs w:val="24"/>
                <w:lang w:eastAsia="en-AU"/>
              </w:rPr>
              <w:t>26.7%</w:t>
            </w:r>
            <w:r w:rsidRPr="00314255">
              <w:rPr>
                <w:rFonts w:ascii="Times New Roman" w:eastAsia="Times New Roman" w:hAnsi="Times New Roman" w:cs="Times New Roman"/>
                <w:sz w:val="24"/>
                <w:szCs w:val="24"/>
                <w:lang w:eastAsia="en-AU"/>
              </w:rPr>
              <w:br/>
              <w:t>8</w:t>
            </w:r>
          </w:p>
        </w:tc>
      </w:tr>
    </w:tbl>
    <w:p w:rsidR="00314255" w:rsidRPr="00314255" w:rsidRDefault="00314255" w:rsidP="00314255">
      <w:pPr>
        <w:spacing w:before="100" w:beforeAutospacing="1" w:after="100" w:afterAutospacing="1" w:line="240" w:lineRule="auto"/>
        <w:rPr>
          <w:rFonts w:ascii="Times New Roman" w:eastAsia="Times New Roman" w:hAnsi="Times New Roman" w:cs="Times New Roman"/>
          <w:sz w:val="24"/>
          <w:szCs w:val="24"/>
          <w:lang w:val="en" w:eastAsia="en-AU"/>
        </w:rPr>
      </w:pPr>
      <w:r w:rsidRPr="00314255">
        <w:rPr>
          <w:rFonts w:ascii="Times New Roman" w:eastAsia="Times New Roman" w:hAnsi="Times New Roman" w:cs="Times New Roman"/>
          <w:sz w:val="24"/>
          <w:szCs w:val="24"/>
          <w:lang w:val="en" w:eastAsia="en-AU"/>
        </w:rPr>
        <w:t>1. The Secretary refers to the Secretary of any policy department where under the Administrative Arrangements Order the Minister of that department has administrative responsibility for the legislation relevant to the decision under review. The department manages these applications on behalf of the policy department Secretary.</w:t>
      </w:r>
    </w:p>
    <w:p w:rsidR="00314255" w:rsidRPr="00314255" w:rsidRDefault="00314255" w:rsidP="00314255">
      <w:pPr>
        <w:spacing w:before="100" w:beforeAutospacing="1" w:after="100" w:afterAutospacing="1" w:line="240" w:lineRule="auto"/>
        <w:rPr>
          <w:rFonts w:ascii="Times New Roman" w:eastAsia="Times New Roman" w:hAnsi="Times New Roman" w:cs="Times New Roman"/>
          <w:sz w:val="24"/>
          <w:szCs w:val="24"/>
          <w:lang w:val="en" w:eastAsia="en-AU"/>
        </w:rPr>
      </w:pPr>
      <w:r w:rsidRPr="00314255">
        <w:rPr>
          <w:rFonts w:ascii="Times New Roman" w:eastAsia="Times New Roman" w:hAnsi="Times New Roman" w:cs="Times New Roman"/>
          <w:sz w:val="24"/>
          <w:szCs w:val="24"/>
          <w:lang w:val="en" w:eastAsia="en-AU"/>
        </w:rPr>
        <w:t>2. Unchanged decisions include reviews that have been withdrawn.</w:t>
      </w:r>
    </w:p>
    <w:p w:rsidR="003F72BE" w:rsidRDefault="00314255">
      <w:bookmarkStart w:id="0" w:name="_GoBack"/>
      <w:bookmarkEnd w:id="0"/>
    </w:p>
    <w:sectPr w:rsidR="003F72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255"/>
    <w:rsid w:val="00314255"/>
    <w:rsid w:val="005D412E"/>
    <w:rsid w:val="009C6B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AC76A6-D5D8-4649-B287-0522A30AE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14255"/>
    <w:rPr>
      <w:b/>
      <w:bCs/>
    </w:rPr>
  </w:style>
  <w:style w:type="paragraph" w:customStyle="1" w:styleId="fs90">
    <w:name w:val="fs90"/>
    <w:basedOn w:val="Normal"/>
    <w:rsid w:val="00314255"/>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369529">
      <w:bodyDiv w:val="1"/>
      <w:marLeft w:val="0"/>
      <w:marRight w:val="0"/>
      <w:marTop w:val="0"/>
      <w:marBottom w:val="0"/>
      <w:divBdr>
        <w:top w:val="none" w:sz="0" w:space="0" w:color="auto"/>
        <w:left w:val="none" w:sz="0" w:space="0" w:color="auto"/>
        <w:bottom w:val="none" w:sz="0" w:space="0" w:color="auto"/>
        <w:right w:val="none" w:sz="0" w:space="0" w:color="auto"/>
      </w:divBdr>
      <w:divsChild>
        <w:div w:id="1398086983">
          <w:marLeft w:val="0"/>
          <w:marRight w:val="0"/>
          <w:marTop w:val="0"/>
          <w:marBottom w:val="0"/>
          <w:divBdr>
            <w:top w:val="none" w:sz="0" w:space="0" w:color="auto"/>
            <w:left w:val="none" w:sz="0" w:space="0" w:color="auto"/>
            <w:bottom w:val="none" w:sz="0" w:space="0" w:color="auto"/>
            <w:right w:val="none" w:sz="0" w:space="0" w:color="auto"/>
          </w:divBdr>
          <w:divsChild>
            <w:div w:id="1145927861">
              <w:marLeft w:val="0"/>
              <w:marRight w:val="0"/>
              <w:marTop w:val="0"/>
              <w:marBottom w:val="0"/>
              <w:divBdr>
                <w:top w:val="none" w:sz="0" w:space="0" w:color="auto"/>
                <w:left w:val="none" w:sz="0" w:space="0" w:color="auto"/>
                <w:bottom w:val="none" w:sz="0" w:space="0" w:color="auto"/>
                <w:right w:val="none" w:sz="0" w:space="0" w:color="auto"/>
              </w:divBdr>
              <w:divsChild>
                <w:div w:id="1745763064">
                  <w:marLeft w:val="0"/>
                  <w:marRight w:val="0"/>
                  <w:marTop w:val="0"/>
                  <w:marBottom w:val="0"/>
                  <w:divBdr>
                    <w:top w:val="none" w:sz="0" w:space="0" w:color="auto"/>
                    <w:left w:val="none" w:sz="0" w:space="0" w:color="auto"/>
                    <w:bottom w:val="none" w:sz="0" w:space="0" w:color="auto"/>
                    <w:right w:val="none" w:sz="0" w:space="0" w:color="auto"/>
                  </w:divBdr>
                  <w:divsChild>
                    <w:div w:id="754786756">
                      <w:marLeft w:val="0"/>
                      <w:marRight w:val="0"/>
                      <w:marTop w:val="0"/>
                      <w:marBottom w:val="0"/>
                      <w:divBdr>
                        <w:top w:val="none" w:sz="0" w:space="0" w:color="auto"/>
                        <w:left w:val="none" w:sz="0" w:space="0" w:color="auto"/>
                        <w:bottom w:val="none" w:sz="0" w:space="0" w:color="auto"/>
                        <w:right w:val="none" w:sz="0" w:space="0" w:color="auto"/>
                      </w:divBdr>
                      <w:divsChild>
                        <w:div w:id="70274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763</Characters>
  <Application>Microsoft Office Word</Application>
  <DocSecurity>0</DocSecurity>
  <Lines>6</Lines>
  <Paragraphs>1</Paragraphs>
  <ScaleCrop>false</ScaleCrop>
  <Company>Australian Government</Company>
  <LinksUpToDate>false</LinksUpToDate>
  <CharactersWithSpaces>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DHS</dc:creator>
  <cp:keywords/>
  <dc:description/>
  <cp:lastModifiedBy>Menz, Ange</cp:lastModifiedBy>
  <cp:revision>1</cp:revision>
  <dcterms:created xsi:type="dcterms:W3CDTF">2014-11-12T22:07:00Z</dcterms:created>
  <dcterms:modified xsi:type="dcterms:W3CDTF">2014-11-12T22:07:00Z</dcterms:modified>
</cp:coreProperties>
</file>