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Description w:val="Table 1: Key performance indicator results"/>
      </w:tblPr>
      <w:tblGrid>
        <w:gridCol w:w="3681"/>
        <w:gridCol w:w="1172"/>
        <w:gridCol w:w="1172"/>
        <w:gridCol w:w="1804"/>
        <w:gridCol w:w="1187"/>
      </w:tblGrid>
      <w:tr w:rsidR="00621BC3" w:rsidRPr="00DE67FB" w:rsidTr="00621BC3">
        <w:trPr>
          <w:tblHeader/>
          <w:tblCellSpacing w:w="15" w:type="dxa"/>
        </w:trPr>
        <w:tc>
          <w:tcPr>
            <w:tcW w:w="8956" w:type="dxa"/>
            <w:gridSpan w:val="5"/>
            <w:vAlign w:val="center"/>
            <w:hideMark/>
          </w:tcPr>
          <w:p w:rsidR="00621BC3" w:rsidRPr="00DE67FB" w:rsidRDefault="00621BC3" w:rsidP="00E75F44">
            <w:pPr>
              <w:spacing w:after="0" w:line="240" w:lineRule="auto"/>
              <w:jc w:val="center"/>
              <w:rPr>
                <w:rFonts w:ascii="Times New Roman" w:eastAsia="Times New Roman" w:hAnsi="Times New Roman" w:cs="Times New Roman"/>
                <w:sz w:val="24"/>
                <w:szCs w:val="24"/>
                <w:lang w:eastAsia="en-AU"/>
              </w:rPr>
            </w:pPr>
            <w:r w:rsidRPr="00DE67FB">
              <w:rPr>
                <w:rFonts w:ascii="Times New Roman" w:eastAsia="Times New Roman" w:hAnsi="Times New Roman" w:cs="Times New Roman"/>
                <w:b/>
                <w:bCs/>
                <w:sz w:val="24"/>
                <w:szCs w:val="24"/>
                <w:lang w:eastAsia="en-AU"/>
              </w:rPr>
              <w:t>Table 1</w:t>
            </w:r>
            <w:r w:rsidR="009B4FAD">
              <w:rPr>
                <w:rFonts w:ascii="Times New Roman" w:eastAsia="Times New Roman" w:hAnsi="Times New Roman" w:cs="Times New Roman"/>
                <w:b/>
                <w:bCs/>
                <w:sz w:val="24"/>
                <w:szCs w:val="24"/>
                <w:lang w:eastAsia="en-AU"/>
              </w:rPr>
              <w:t>b</w:t>
            </w:r>
            <w:bookmarkStart w:id="0" w:name="_GoBack"/>
            <w:bookmarkEnd w:id="0"/>
            <w:r w:rsidRPr="00DE67FB">
              <w:rPr>
                <w:rFonts w:ascii="Times New Roman" w:eastAsia="Times New Roman" w:hAnsi="Times New Roman" w:cs="Times New Roman"/>
                <w:b/>
                <w:bCs/>
                <w:sz w:val="24"/>
                <w:szCs w:val="24"/>
                <w:lang w:eastAsia="en-AU"/>
              </w:rPr>
              <w:t>:</w:t>
            </w:r>
            <w:r w:rsidRPr="00DE67FB">
              <w:rPr>
                <w:rFonts w:ascii="Times New Roman" w:eastAsia="Times New Roman" w:hAnsi="Times New Roman" w:cs="Times New Roman"/>
                <w:sz w:val="24"/>
                <w:szCs w:val="24"/>
                <w:lang w:eastAsia="en-AU"/>
              </w:rPr>
              <w:t xml:space="preserve"> Key performance indicator results</w:t>
            </w:r>
            <w:r w:rsidRPr="00DE67FB">
              <w:rPr>
                <w:rFonts w:ascii="Times New Roman" w:eastAsia="Times New Roman" w:hAnsi="Times New Roman" w:cs="Times New Roman"/>
                <w:sz w:val="24"/>
                <w:szCs w:val="24"/>
                <w:vertAlign w:val="superscript"/>
                <w:lang w:eastAsia="en-AU"/>
              </w:rPr>
              <w:t>1</w:t>
            </w:r>
            <w:r w:rsidRPr="00DE67FB">
              <w:rPr>
                <w:rFonts w:ascii="Times New Roman" w:eastAsia="Times New Roman" w:hAnsi="Times New Roman" w:cs="Times New Roman"/>
                <w:sz w:val="24"/>
                <w:szCs w:val="24"/>
                <w:lang w:eastAsia="en-AU"/>
              </w:rPr>
              <w:t xml:space="preserve"> </w:t>
            </w:r>
          </w:p>
        </w:tc>
      </w:tr>
      <w:tr w:rsidR="00621BC3" w:rsidRPr="00DE67FB" w:rsidTr="00E75F44">
        <w:trPr>
          <w:tblHeader/>
          <w:tblCellSpacing w:w="15" w:type="dxa"/>
        </w:trPr>
        <w:tc>
          <w:tcPr>
            <w:tcW w:w="0" w:type="auto"/>
            <w:vAlign w:val="center"/>
            <w:hideMark/>
          </w:tcPr>
          <w:p w:rsidR="00621BC3" w:rsidRPr="00DE67FB" w:rsidRDefault="00621BC3" w:rsidP="00E75F44">
            <w:pPr>
              <w:spacing w:after="0" w:line="240" w:lineRule="auto"/>
              <w:jc w:val="center"/>
              <w:rPr>
                <w:rFonts w:ascii="Times New Roman" w:eastAsia="Times New Roman" w:hAnsi="Times New Roman" w:cs="Times New Roman"/>
                <w:b/>
                <w:bCs/>
                <w:sz w:val="24"/>
                <w:szCs w:val="24"/>
                <w:lang w:eastAsia="en-AU"/>
              </w:rPr>
            </w:pPr>
            <w:r w:rsidRPr="00DE67FB">
              <w:rPr>
                <w:rFonts w:ascii="Times New Roman" w:eastAsia="Times New Roman" w:hAnsi="Times New Roman" w:cs="Times New Roman"/>
                <w:b/>
                <w:bCs/>
                <w:sz w:val="24"/>
                <w:szCs w:val="24"/>
                <w:lang w:eastAsia="en-AU"/>
              </w:rPr>
              <w:t>Key performance indicator</w:t>
            </w:r>
          </w:p>
        </w:tc>
        <w:tc>
          <w:tcPr>
            <w:tcW w:w="0" w:type="auto"/>
            <w:vAlign w:val="center"/>
            <w:hideMark/>
          </w:tcPr>
          <w:p w:rsidR="00621BC3" w:rsidRPr="00DE67FB" w:rsidRDefault="00621BC3" w:rsidP="00E75F44">
            <w:pPr>
              <w:spacing w:after="0" w:line="240" w:lineRule="auto"/>
              <w:jc w:val="center"/>
              <w:rPr>
                <w:rFonts w:ascii="Times New Roman" w:eastAsia="Times New Roman" w:hAnsi="Times New Roman" w:cs="Times New Roman"/>
                <w:b/>
                <w:bCs/>
                <w:sz w:val="24"/>
                <w:szCs w:val="24"/>
                <w:lang w:eastAsia="en-AU"/>
              </w:rPr>
            </w:pPr>
            <w:r w:rsidRPr="00DE67FB">
              <w:rPr>
                <w:rFonts w:ascii="Times New Roman" w:eastAsia="Times New Roman" w:hAnsi="Times New Roman" w:cs="Times New Roman"/>
                <w:b/>
                <w:bCs/>
                <w:sz w:val="24"/>
                <w:szCs w:val="24"/>
                <w:lang w:eastAsia="en-AU"/>
              </w:rPr>
              <w:t>Target</w:t>
            </w:r>
            <w:r w:rsidRPr="00DE67FB">
              <w:rPr>
                <w:rFonts w:ascii="Times New Roman" w:eastAsia="Times New Roman" w:hAnsi="Times New Roman" w:cs="Times New Roman"/>
                <w:b/>
                <w:bCs/>
                <w:sz w:val="24"/>
                <w:szCs w:val="24"/>
                <w:lang w:eastAsia="en-AU"/>
              </w:rPr>
              <w:br/>
              <w:t>2013–14</w:t>
            </w:r>
          </w:p>
        </w:tc>
        <w:tc>
          <w:tcPr>
            <w:tcW w:w="0" w:type="auto"/>
            <w:vAlign w:val="center"/>
            <w:hideMark/>
          </w:tcPr>
          <w:p w:rsidR="00621BC3" w:rsidRPr="00DE67FB" w:rsidRDefault="00621BC3" w:rsidP="00E75F44">
            <w:pPr>
              <w:spacing w:after="0" w:line="240" w:lineRule="auto"/>
              <w:jc w:val="center"/>
              <w:rPr>
                <w:rFonts w:ascii="Times New Roman" w:eastAsia="Times New Roman" w:hAnsi="Times New Roman" w:cs="Times New Roman"/>
                <w:b/>
                <w:bCs/>
                <w:sz w:val="24"/>
                <w:szCs w:val="24"/>
                <w:lang w:eastAsia="en-AU"/>
              </w:rPr>
            </w:pPr>
            <w:r w:rsidRPr="00DE67FB">
              <w:rPr>
                <w:rFonts w:ascii="Times New Roman" w:eastAsia="Times New Roman" w:hAnsi="Times New Roman" w:cs="Times New Roman"/>
                <w:b/>
                <w:bCs/>
                <w:sz w:val="24"/>
                <w:szCs w:val="24"/>
                <w:lang w:eastAsia="en-AU"/>
              </w:rPr>
              <w:t>Result</w:t>
            </w:r>
            <w:r w:rsidRPr="00DE67FB">
              <w:rPr>
                <w:rFonts w:ascii="Times New Roman" w:eastAsia="Times New Roman" w:hAnsi="Times New Roman" w:cs="Times New Roman"/>
                <w:b/>
                <w:bCs/>
                <w:sz w:val="24"/>
                <w:szCs w:val="24"/>
                <w:lang w:eastAsia="en-AU"/>
              </w:rPr>
              <w:br/>
              <w:t>2012–13</w:t>
            </w:r>
          </w:p>
        </w:tc>
        <w:tc>
          <w:tcPr>
            <w:tcW w:w="0" w:type="auto"/>
            <w:vAlign w:val="center"/>
            <w:hideMark/>
          </w:tcPr>
          <w:p w:rsidR="00621BC3" w:rsidRPr="00DE67FB" w:rsidRDefault="00621BC3" w:rsidP="00E75F44">
            <w:pPr>
              <w:spacing w:after="0" w:line="240" w:lineRule="auto"/>
              <w:jc w:val="center"/>
              <w:rPr>
                <w:rFonts w:ascii="Times New Roman" w:eastAsia="Times New Roman" w:hAnsi="Times New Roman" w:cs="Times New Roman"/>
                <w:b/>
                <w:bCs/>
                <w:sz w:val="24"/>
                <w:szCs w:val="24"/>
                <w:lang w:eastAsia="en-AU"/>
              </w:rPr>
            </w:pPr>
            <w:r w:rsidRPr="00DE67FB">
              <w:rPr>
                <w:rFonts w:ascii="Times New Roman" w:eastAsia="Times New Roman" w:hAnsi="Times New Roman" w:cs="Times New Roman"/>
                <w:b/>
                <w:bCs/>
                <w:sz w:val="24"/>
                <w:szCs w:val="24"/>
                <w:lang w:eastAsia="en-AU"/>
              </w:rPr>
              <w:t>Performance</w:t>
            </w:r>
            <w:r w:rsidRPr="00DE67FB">
              <w:rPr>
                <w:rFonts w:ascii="Times New Roman" w:eastAsia="Times New Roman" w:hAnsi="Times New Roman" w:cs="Times New Roman"/>
                <w:b/>
                <w:bCs/>
                <w:sz w:val="24"/>
                <w:szCs w:val="24"/>
                <w:lang w:eastAsia="en-AU"/>
              </w:rPr>
              <w:br/>
              <w:t>2013–14</w:t>
            </w:r>
          </w:p>
        </w:tc>
        <w:tc>
          <w:tcPr>
            <w:tcW w:w="0" w:type="auto"/>
            <w:vAlign w:val="center"/>
            <w:hideMark/>
          </w:tcPr>
          <w:p w:rsidR="00621BC3" w:rsidRPr="00DE67FB" w:rsidRDefault="00621BC3" w:rsidP="00E75F44">
            <w:pPr>
              <w:spacing w:after="0" w:line="240" w:lineRule="auto"/>
              <w:jc w:val="center"/>
              <w:rPr>
                <w:rFonts w:ascii="Times New Roman" w:eastAsia="Times New Roman" w:hAnsi="Times New Roman" w:cs="Times New Roman"/>
                <w:b/>
                <w:bCs/>
                <w:sz w:val="24"/>
                <w:szCs w:val="24"/>
                <w:lang w:eastAsia="en-AU"/>
              </w:rPr>
            </w:pPr>
            <w:r w:rsidRPr="00DE67FB">
              <w:rPr>
                <w:rFonts w:ascii="Times New Roman" w:eastAsia="Times New Roman" w:hAnsi="Times New Roman" w:cs="Times New Roman"/>
                <w:b/>
                <w:bCs/>
                <w:sz w:val="24"/>
                <w:szCs w:val="24"/>
                <w:lang w:eastAsia="en-AU"/>
              </w:rPr>
              <w:t>Met</w:t>
            </w:r>
            <w:r w:rsidRPr="00DE67FB">
              <w:rPr>
                <w:rFonts w:ascii="Times New Roman" w:eastAsia="Times New Roman" w:hAnsi="Times New Roman" w:cs="Times New Roman"/>
                <w:b/>
                <w:bCs/>
                <w:sz w:val="24"/>
                <w:szCs w:val="24"/>
                <w:lang w:eastAsia="en-AU"/>
              </w:rPr>
              <w:br/>
              <w:t>2013–14</w:t>
            </w:r>
          </w:p>
        </w:tc>
      </w:tr>
      <w:tr w:rsidR="00621BC3" w:rsidRPr="00DE67FB" w:rsidTr="00621BC3">
        <w:trPr>
          <w:tblCellSpacing w:w="15" w:type="dxa"/>
        </w:trPr>
        <w:tc>
          <w:tcPr>
            <w:tcW w:w="8956" w:type="dxa"/>
            <w:gridSpan w:val="5"/>
            <w:vAlign w:val="center"/>
            <w:hideMark/>
          </w:tcPr>
          <w:p w:rsidR="00621BC3" w:rsidRPr="00DE67FB" w:rsidRDefault="00621BC3" w:rsidP="00E75F44">
            <w:pPr>
              <w:spacing w:after="0"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b/>
                <w:bCs/>
                <w:sz w:val="24"/>
                <w:szCs w:val="24"/>
                <w:lang w:eastAsia="en-AU"/>
              </w:rPr>
              <w:t>Achievement of customer satisfaction standards</w:t>
            </w:r>
          </w:p>
        </w:tc>
      </w:tr>
      <w:tr w:rsidR="00621BC3" w:rsidRPr="00DE67FB" w:rsidTr="00E75F44">
        <w:trPr>
          <w:tblCellSpacing w:w="15" w:type="dxa"/>
        </w:trPr>
        <w:tc>
          <w:tcPr>
            <w:tcW w:w="0" w:type="auto"/>
            <w:hideMark/>
          </w:tcPr>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National</w:t>
            </w:r>
          </w:p>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Medicare</w:t>
            </w:r>
          </w:p>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Child Support</w:t>
            </w:r>
          </w:p>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Centrelink</w:t>
            </w:r>
          </w:p>
        </w:tc>
        <w:tc>
          <w:tcPr>
            <w:tcW w:w="0" w:type="auto"/>
            <w:hideMark/>
          </w:tcPr>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Cambria Math" w:eastAsia="Times New Roman" w:hAnsi="Cambria Math" w:cs="Cambria Math"/>
                <w:sz w:val="24"/>
                <w:szCs w:val="24"/>
                <w:lang w:eastAsia="en-AU"/>
              </w:rPr>
              <w:t>⩾</w:t>
            </w:r>
            <w:r w:rsidRPr="00DE67FB">
              <w:rPr>
                <w:rFonts w:ascii="Times New Roman" w:eastAsia="Times New Roman" w:hAnsi="Times New Roman" w:cs="Times New Roman"/>
                <w:sz w:val="24"/>
                <w:szCs w:val="24"/>
                <w:lang w:eastAsia="en-AU"/>
              </w:rPr>
              <w:t>85%</w:t>
            </w:r>
          </w:p>
        </w:tc>
        <w:tc>
          <w:tcPr>
            <w:tcW w:w="0" w:type="auto"/>
            <w:hideMark/>
          </w:tcPr>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74%</w:t>
            </w:r>
          </w:p>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87%</w:t>
            </w:r>
          </w:p>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84%</w:t>
            </w:r>
          </w:p>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72%</w:t>
            </w:r>
          </w:p>
        </w:tc>
        <w:tc>
          <w:tcPr>
            <w:tcW w:w="0" w:type="auto"/>
            <w:hideMark/>
          </w:tcPr>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71%</w:t>
            </w:r>
            <w:r w:rsidRPr="00DE67FB">
              <w:rPr>
                <w:rFonts w:ascii="Times New Roman" w:eastAsia="Times New Roman" w:hAnsi="Times New Roman" w:cs="Times New Roman"/>
                <w:sz w:val="24"/>
                <w:szCs w:val="24"/>
                <w:vertAlign w:val="superscript"/>
                <w:lang w:eastAsia="en-AU"/>
              </w:rPr>
              <w:t>2</w:t>
            </w:r>
            <w:r w:rsidRPr="00DE67FB">
              <w:rPr>
                <w:rFonts w:ascii="Times New Roman" w:eastAsia="Times New Roman" w:hAnsi="Times New Roman" w:cs="Times New Roman"/>
                <w:sz w:val="24"/>
                <w:szCs w:val="24"/>
                <w:lang w:eastAsia="en-AU"/>
              </w:rPr>
              <w:t xml:space="preserve"> </w:t>
            </w:r>
          </w:p>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85%</w:t>
            </w:r>
            <w:r w:rsidRPr="00DE67FB">
              <w:rPr>
                <w:rFonts w:ascii="Times New Roman" w:eastAsia="Times New Roman" w:hAnsi="Times New Roman" w:cs="Times New Roman"/>
                <w:sz w:val="24"/>
                <w:szCs w:val="24"/>
                <w:vertAlign w:val="superscript"/>
                <w:lang w:eastAsia="en-AU"/>
              </w:rPr>
              <w:t>2</w:t>
            </w:r>
            <w:r w:rsidRPr="00DE67FB">
              <w:rPr>
                <w:rFonts w:ascii="Times New Roman" w:eastAsia="Times New Roman" w:hAnsi="Times New Roman" w:cs="Times New Roman"/>
                <w:sz w:val="24"/>
                <w:szCs w:val="24"/>
                <w:lang w:eastAsia="en-AU"/>
              </w:rPr>
              <w:t xml:space="preserve"> </w:t>
            </w:r>
          </w:p>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84%</w:t>
            </w:r>
            <w:r w:rsidRPr="00DE67FB">
              <w:rPr>
                <w:rFonts w:ascii="Times New Roman" w:eastAsia="Times New Roman" w:hAnsi="Times New Roman" w:cs="Times New Roman"/>
                <w:sz w:val="24"/>
                <w:szCs w:val="24"/>
                <w:vertAlign w:val="superscript"/>
                <w:lang w:eastAsia="en-AU"/>
              </w:rPr>
              <w:t>2</w:t>
            </w:r>
            <w:r w:rsidRPr="00DE67FB">
              <w:rPr>
                <w:rFonts w:ascii="Times New Roman" w:eastAsia="Times New Roman" w:hAnsi="Times New Roman" w:cs="Times New Roman"/>
                <w:sz w:val="24"/>
                <w:szCs w:val="24"/>
                <w:lang w:eastAsia="en-AU"/>
              </w:rPr>
              <w:t xml:space="preserve"> </w:t>
            </w:r>
          </w:p>
          <w:p w:rsidR="00621BC3" w:rsidRPr="00DE67FB" w:rsidRDefault="00621BC3" w:rsidP="00E75F44">
            <w:pPr>
              <w:spacing w:before="100" w:beforeAutospacing="1" w:after="100" w:afterAutospacing="1"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sz w:val="24"/>
                <w:szCs w:val="24"/>
                <w:lang w:eastAsia="en-AU"/>
              </w:rPr>
              <w:t>68%</w:t>
            </w:r>
            <w:r w:rsidRPr="00DE67FB">
              <w:rPr>
                <w:rFonts w:ascii="Times New Roman" w:eastAsia="Times New Roman" w:hAnsi="Times New Roman" w:cs="Times New Roman"/>
                <w:sz w:val="24"/>
                <w:szCs w:val="24"/>
                <w:vertAlign w:val="superscript"/>
                <w:lang w:eastAsia="en-AU"/>
              </w:rPr>
              <w:t>2</w:t>
            </w:r>
            <w:r w:rsidRPr="00DE67FB">
              <w:rPr>
                <w:rFonts w:ascii="Times New Roman" w:eastAsia="Times New Roman" w:hAnsi="Times New Roman" w:cs="Times New Roman"/>
                <w:sz w:val="24"/>
                <w:szCs w:val="24"/>
                <w:lang w:eastAsia="en-AU"/>
              </w:rPr>
              <w:t xml:space="preserve"> </w:t>
            </w:r>
          </w:p>
        </w:tc>
        <w:tc>
          <w:tcPr>
            <w:tcW w:w="0" w:type="auto"/>
            <w:vAlign w:val="center"/>
            <w:hideMark/>
          </w:tcPr>
          <w:p w:rsidR="00621BC3" w:rsidRPr="00DE67FB" w:rsidRDefault="00621BC3" w:rsidP="00E75F44">
            <w:pPr>
              <w:spacing w:after="0" w:line="240" w:lineRule="auto"/>
              <w:rPr>
                <w:rFonts w:ascii="Times New Roman" w:eastAsia="Times New Roman" w:hAnsi="Times New Roman" w:cs="Times New Roman"/>
                <w:sz w:val="24"/>
                <w:szCs w:val="24"/>
                <w:lang w:eastAsia="en-AU"/>
              </w:rPr>
            </w:pPr>
            <w:r w:rsidRPr="00DE67FB">
              <w:rPr>
                <w:rFonts w:ascii="Times New Roman" w:eastAsia="Times New Roman" w:hAnsi="Times New Roman" w:cs="Times New Roman"/>
                <w:noProof/>
                <w:sz w:val="24"/>
                <w:szCs w:val="24"/>
                <w:lang w:eastAsia="en-AU"/>
              </w:rPr>
              <w:drawing>
                <wp:inline distT="0" distB="0" distL="0" distR="0" wp14:anchorId="2758A4B5" wp14:editId="0EB37060">
                  <wp:extent cx="152400" cy="152400"/>
                  <wp:effectExtent l="0" t="0" r="0" b="0"/>
                  <wp:docPr id="23" name="Picture 23" desc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621BC3" w:rsidRPr="00DE67FB" w:rsidRDefault="00621BC3" w:rsidP="00621BC3">
      <w:pPr>
        <w:spacing w:before="100" w:beforeAutospacing="1" w:after="100" w:afterAutospacing="1" w:line="240" w:lineRule="auto"/>
        <w:rPr>
          <w:rFonts w:ascii="Times New Roman" w:eastAsia="Times New Roman" w:hAnsi="Times New Roman" w:cs="Times New Roman"/>
          <w:sz w:val="24"/>
          <w:szCs w:val="24"/>
          <w:lang w:val="en" w:eastAsia="en-AU"/>
        </w:rPr>
      </w:pPr>
      <w:r w:rsidRPr="00DE67FB">
        <w:rPr>
          <w:rFonts w:ascii="Times New Roman" w:eastAsia="Times New Roman" w:hAnsi="Times New Roman" w:cs="Times New Roman"/>
          <w:sz w:val="24"/>
          <w:szCs w:val="24"/>
          <w:lang w:val="en" w:eastAsia="en-AU"/>
        </w:rPr>
        <w:t>1. Percentages in this table may have been rounded to the nearest decimal point.</w:t>
      </w:r>
    </w:p>
    <w:p w:rsidR="00621BC3" w:rsidRPr="00DE67FB" w:rsidRDefault="00621BC3" w:rsidP="00621BC3">
      <w:pPr>
        <w:spacing w:before="100" w:beforeAutospacing="1" w:after="100" w:afterAutospacing="1" w:line="240" w:lineRule="auto"/>
        <w:rPr>
          <w:rFonts w:ascii="Times New Roman" w:eastAsia="Times New Roman" w:hAnsi="Times New Roman" w:cs="Times New Roman"/>
          <w:sz w:val="24"/>
          <w:szCs w:val="24"/>
          <w:lang w:val="en" w:eastAsia="en-AU"/>
        </w:rPr>
      </w:pPr>
      <w:r w:rsidRPr="00DE67FB">
        <w:rPr>
          <w:rFonts w:ascii="Times New Roman" w:eastAsia="Times New Roman" w:hAnsi="Times New Roman" w:cs="Times New Roman"/>
          <w:sz w:val="24"/>
          <w:szCs w:val="24"/>
          <w:lang w:val="en" w:eastAsia="en-AU"/>
        </w:rPr>
        <w:t>2. In 2013–14, overall customer satisfaction was 71 per cent. This is primarily attributed to results for ‘ease of accessing services’ and ‘length of time to receive services’ within the Centrelink programme. The department is implementing a range of strategies in service centres and for telephony services to address this, complemented by an increase in digital service options. The satisfaction with staff result remains high—above 85 per cent.</w:t>
      </w:r>
    </w:p>
    <w:p w:rsidR="003F72BE" w:rsidRPr="00621BC3" w:rsidRDefault="009B4FAD" w:rsidP="00621BC3"/>
    <w:sectPr w:rsidR="003F72BE" w:rsidRPr="00621B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C61"/>
    <w:rsid w:val="00086BCE"/>
    <w:rsid w:val="005D412E"/>
    <w:rsid w:val="00621BC3"/>
    <w:rsid w:val="00780C61"/>
    <w:rsid w:val="009B4FAD"/>
    <w:rsid w:val="009C6B64"/>
    <w:rsid w:val="00D935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6F39A4-8AC8-4A24-BC98-5D9B125CC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B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80C61"/>
    <w:rPr>
      <w:b/>
      <w:bCs/>
    </w:rPr>
  </w:style>
  <w:style w:type="paragraph" w:styleId="NormalWeb">
    <w:name w:val="Normal (Web)"/>
    <w:basedOn w:val="Normal"/>
    <w:uiPriority w:val="99"/>
    <w:semiHidden/>
    <w:unhideWhenUsed/>
    <w:rsid w:val="00780C6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fs90">
    <w:name w:val="fs90"/>
    <w:basedOn w:val="Normal"/>
    <w:rsid w:val="00780C6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326948">
      <w:bodyDiv w:val="1"/>
      <w:marLeft w:val="0"/>
      <w:marRight w:val="0"/>
      <w:marTop w:val="0"/>
      <w:marBottom w:val="0"/>
      <w:divBdr>
        <w:top w:val="none" w:sz="0" w:space="0" w:color="auto"/>
        <w:left w:val="none" w:sz="0" w:space="0" w:color="auto"/>
        <w:bottom w:val="none" w:sz="0" w:space="0" w:color="auto"/>
        <w:right w:val="none" w:sz="0" w:space="0" w:color="auto"/>
      </w:divBdr>
      <w:divsChild>
        <w:div w:id="203639949">
          <w:marLeft w:val="0"/>
          <w:marRight w:val="0"/>
          <w:marTop w:val="0"/>
          <w:marBottom w:val="0"/>
          <w:divBdr>
            <w:top w:val="none" w:sz="0" w:space="0" w:color="auto"/>
            <w:left w:val="none" w:sz="0" w:space="0" w:color="auto"/>
            <w:bottom w:val="none" w:sz="0" w:space="0" w:color="auto"/>
            <w:right w:val="none" w:sz="0" w:space="0" w:color="auto"/>
          </w:divBdr>
          <w:divsChild>
            <w:div w:id="331101908">
              <w:marLeft w:val="0"/>
              <w:marRight w:val="0"/>
              <w:marTop w:val="0"/>
              <w:marBottom w:val="0"/>
              <w:divBdr>
                <w:top w:val="none" w:sz="0" w:space="0" w:color="auto"/>
                <w:left w:val="none" w:sz="0" w:space="0" w:color="auto"/>
                <w:bottom w:val="none" w:sz="0" w:space="0" w:color="auto"/>
                <w:right w:val="none" w:sz="0" w:space="0" w:color="auto"/>
              </w:divBdr>
              <w:divsChild>
                <w:div w:id="885946233">
                  <w:marLeft w:val="0"/>
                  <w:marRight w:val="0"/>
                  <w:marTop w:val="0"/>
                  <w:marBottom w:val="0"/>
                  <w:divBdr>
                    <w:top w:val="none" w:sz="0" w:space="0" w:color="auto"/>
                    <w:left w:val="none" w:sz="0" w:space="0" w:color="auto"/>
                    <w:bottom w:val="none" w:sz="0" w:space="0" w:color="auto"/>
                    <w:right w:val="none" w:sz="0" w:space="0" w:color="auto"/>
                  </w:divBdr>
                  <w:divsChild>
                    <w:div w:id="1869636780">
                      <w:marLeft w:val="0"/>
                      <w:marRight w:val="0"/>
                      <w:marTop w:val="0"/>
                      <w:marBottom w:val="0"/>
                      <w:divBdr>
                        <w:top w:val="none" w:sz="0" w:space="0" w:color="auto"/>
                        <w:left w:val="none" w:sz="0" w:space="0" w:color="auto"/>
                        <w:bottom w:val="none" w:sz="0" w:space="0" w:color="auto"/>
                        <w:right w:val="none" w:sz="0" w:space="0" w:color="auto"/>
                      </w:divBdr>
                      <w:divsChild>
                        <w:div w:id="46415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120</Words>
  <Characters>685</Characters>
  <Application>Microsoft Office Word</Application>
  <DocSecurity>0</DocSecurity>
  <Lines>5</Lines>
  <Paragraphs>1</Paragraphs>
  <ScaleCrop>false</ScaleCrop>
  <Company>Australian Government</Company>
  <LinksUpToDate>false</LinksUpToDate>
  <CharactersWithSpaces>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Menz, Ange</dc:creator>
  <cp:keywords/>
  <dc:description/>
  <cp:lastModifiedBy>Menz, Ange</cp:lastModifiedBy>
  <cp:revision>5</cp:revision>
  <dcterms:created xsi:type="dcterms:W3CDTF">2014-11-12T23:02:00Z</dcterms:created>
  <dcterms:modified xsi:type="dcterms:W3CDTF">2014-11-27T03:33:00Z</dcterms:modified>
</cp:coreProperties>
</file>