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5608101" w14:textId="77777777" w:rsidR="00A44541" w:rsidRDefault="00A04862" w:rsidP="004B213F">
      <w:pPr>
        <w:pStyle w:val="StyleTitleStyleLatinCenturyGothic32ptCustomColorRGB"/>
      </w:pPr>
      <w:r>
        <w:t>Preliminary Assessment Extent</w:t>
      </w:r>
      <w:r w:rsidR="0070620E">
        <w:t xml:space="preserve"> (PAE</w:t>
      </w:r>
      <w:proofErr w:type="gramStart"/>
      <w:r w:rsidR="0070620E">
        <w:t>)</w:t>
      </w:r>
      <w:proofErr w:type="gramEnd"/>
      <w:r w:rsidR="00C572F0" w:rsidRPr="000B67E2">
        <w:br/>
      </w:r>
      <w:proofErr w:type="spellStart"/>
      <w:r>
        <w:t>Arckaringa</w:t>
      </w:r>
      <w:proofErr w:type="spellEnd"/>
      <w:r>
        <w:t xml:space="preserve"> and </w:t>
      </w:r>
      <w:proofErr w:type="spellStart"/>
      <w:r>
        <w:t>Pedirka</w:t>
      </w:r>
      <w:proofErr w:type="spellEnd"/>
      <w:r>
        <w:t xml:space="preserve"> Basin</w:t>
      </w:r>
    </w:p>
    <w:p w14:paraId="0241C8FA" w14:textId="77777777" w:rsidR="00A04862" w:rsidRDefault="00A04862" w:rsidP="004B213F">
      <w:pPr>
        <w:pStyle w:val="StyleTitleStyleLatinCenturyGothic32ptCustomColorRGB"/>
        <w:rPr>
          <w:sz w:val="52"/>
          <w:szCs w:val="52"/>
        </w:rPr>
      </w:pPr>
      <w:r>
        <w:t>Methodology and Assumptions</w:t>
      </w:r>
    </w:p>
    <w:p w14:paraId="30C7C87B" w14:textId="77777777" w:rsidR="00F92ED9" w:rsidRDefault="00F92ED9" w:rsidP="00523322">
      <w:pPr>
        <w:pStyle w:val="TitleStyle"/>
        <w:rPr>
          <w:rFonts w:ascii="Century Gothic" w:hAnsi="Century Gothic"/>
          <w:caps w:val="0"/>
          <w:color w:val="007886"/>
          <w:spacing w:val="-28"/>
          <w:sz w:val="64"/>
          <w:szCs w:val="64"/>
        </w:rPr>
      </w:pPr>
    </w:p>
    <w:p w14:paraId="7B62F039" w14:textId="77777777" w:rsidR="00F92ED9" w:rsidRDefault="00F92ED9" w:rsidP="00523322">
      <w:pPr>
        <w:pStyle w:val="TitleStyle"/>
        <w:rPr>
          <w:rFonts w:ascii="Century Gothic" w:hAnsi="Century Gothic"/>
          <w:caps w:val="0"/>
          <w:color w:val="007886"/>
          <w:spacing w:val="-28"/>
          <w:sz w:val="64"/>
          <w:szCs w:val="64"/>
        </w:rPr>
      </w:pPr>
    </w:p>
    <w:p w14:paraId="1DA6ADE0" w14:textId="77777777" w:rsidR="00F92ED9" w:rsidRDefault="00F92ED9" w:rsidP="00523322">
      <w:pPr>
        <w:pStyle w:val="TitleStyle"/>
        <w:rPr>
          <w:rFonts w:ascii="Century Gothic" w:hAnsi="Century Gothic"/>
          <w:caps w:val="0"/>
          <w:color w:val="007886"/>
          <w:spacing w:val="-28"/>
          <w:sz w:val="64"/>
          <w:szCs w:val="64"/>
        </w:rPr>
      </w:pPr>
    </w:p>
    <w:p w14:paraId="1E6924E5" w14:textId="77777777" w:rsidR="00F92ED9" w:rsidRDefault="00F92ED9" w:rsidP="00523322">
      <w:pPr>
        <w:pStyle w:val="TitleStyle"/>
        <w:rPr>
          <w:rFonts w:ascii="Century Gothic" w:hAnsi="Century Gothic"/>
          <w:caps w:val="0"/>
          <w:color w:val="007886"/>
          <w:spacing w:val="-28"/>
          <w:sz w:val="64"/>
          <w:szCs w:val="64"/>
        </w:rPr>
      </w:pPr>
    </w:p>
    <w:p w14:paraId="42B939B6" w14:textId="77777777" w:rsidR="00F92ED9" w:rsidRDefault="00F92ED9" w:rsidP="00523322">
      <w:pPr>
        <w:pStyle w:val="TitleStyle"/>
        <w:rPr>
          <w:rFonts w:ascii="Century Gothic" w:hAnsi="Century Gothic"/>
          <w:caps w:val="0"/>
          <w:color w:val="007886"/>
          <w:spacing w:val="-28"/>
          <w:sz w:val="64"/>
          <w:szCs w:val="64"/>
        </w:rPr>
      </w:pPr>
    </w:p>
    <w:p w14:paraId="56E7D0C2" w14:textId="77777777" w:rsidR="00F92ED9" w:rsidRDefault="00F92ED9" w:rsidP="00523322">
      <w:pPr>
        <w:pStyle w:val="TitleStyle"/>
        <w:rPr>
          <w:rFonts w:ascii="Century Gothic" w:hAnsi="Century Gothic"/>
          <w:caps w:val="0"/>
          <w:color w:val="007886"/>
          <w:spacing w:val="-28"/>
          <w:sz w:val="64"/>
          <w:szCs w:val="64"/>
        </w:rPr>
      </w:pPr>
    </w:p>
    <w:p w14:paraId="164093EC" w14:textId="77777777" w:rsidR="00F92ED9" w:rsidRPr="000B67E2" w:rsidRDefault="00F92ED9" w:rsidP="00523322">
      <w:pPr>
        <w:pStyle w:val="TitleStyle"/>
        <w:rPr>
          <w:rFonts w:ascii="Century Gothic" w:hAnsi="Century Gothic"/>
          <w:caps w:val="0"/>
          <w:color w:val="007886"/>
          <w:spacing w:val="-28"/>
          <w:sz w:val="64"/>
          <w:szCs w:val="64"/>
        </w:rPr>
      </w:pPr>
    </w:p>
    <w:p w14:paraId="4677785C" w14:textId="77777777" w:rsidR="00F92ED9" w:rsidRPr="00F92ED9" w:rsidRDefault="00F92ED9" w:rsidP="004B213F">
      <w:pPr>
        <w:pStyle w:val="StyleBasicParagraphLatinVerdana16ptCustomColorRGB"/>
        <w:rPr>
          <w:rFonts w:ascii="Segoe UI" w:hAnsi="Segoe UI" w:cs="Segoe UI"/>
          <w:sz w:val="40"/>
          <w:szCs w:val="40"/>
        </w:rPr>
      </w:pPr>
    </w:p>
    <w:p w14:paraId="70514107" w14:textId="77777777" w:rsidR="00F92ED9" w:rsidRPr="00F92ED9" w:rsidRDefault="00F92ED9" w:rsidP="004B213F">
      <w:pPr>
        <w:pStyle w:val="StyleBasicParagraphLatinVerdana16ptCustomColorRGB"/>
        <w:rPr>
          <w:rFonts w:ascii="Segoe UI" w:hAnsi="Segoe UI" w:cs="Segoe UI"/>
          <w:sz w:val="40"/>
          <w:szCs w:val="40"/>
        </w:rPr>
      </w:pPr>
    </w:p>
    <w:p w14:paraId="7838A10D" w14:textId="313C943D" w:rsidR="00A04862" w:rsidRDefault="00A04862" w:rsidP="00A04862">
      <w:pPr>
        <w:pStyle w:val="StyleBasicParagraphLatinVerdana16ptCustomColorRGB"/>
        <w:rPr>
          <w:rFonts w:ascii="Segoe UI" w:hAnsi="Segoe UI" w:cs="Segoe UI"/>
          <w:sz w:val="40"/>
          <w:szCs w:val="40"/>
        </w:rPr>
      </w:pPr>
      <w:r>
        <w:rPr>
          <w:rFonts w:ascii="Segoe UI" w:hAnsi="Segoe UI" w:cs="Segoe UI"/>
          <w:sz w:val="40"/>
          <w:szCs w:val="40"/>
        </w:rPr>
        <w:t>Issue Date</w:t>
      </w:r>
      <w:r w:rsidRPr="00F92ED9">
        <w:rPr>
          <w:rFonts w:ascii="Segoe UI" w:hAnsi="Segoe UI" w:cs="Segoe UI"/>
          <w:sz w:val="40"/>
          <w:szCs w:val="40"/>
        </w:rPr>
        <w:t>:</w:t>
      </w:r>
      <w:r w:rsidRPr="00F92ED9">
        <w:rPr>
          <w:rFonts w:ascii="Segoe UI" w:hAnsi="Segoe UI" w:cs="Segoe UI"/>
          <w:sz w:val="40"/>
          <w:szCs w:val="40"/>
        </w:rPr>
        <w:tab/>
      </w:r>
      <w:r w:rsidRPr="00F92ED9">
        <w:rPr>
          <w:rFonts w:ascii="Segoe UI" w:hAnsi="Segoe UI" w:cs="Segoe UI"/>
          <w:sz w:val="40"/>
          <w:szCs w:val="40"/>
        </w:rPr>
        <w:tab/>
      </w:r>
      <w:r w:rsidR="009B5902">
        <w:rPr>
          <w:rFonts w:ascii="Segoe UI" w:hAnsi="Segoe UI" w:cs="Segoe UI"/>
          <w:sz w:val="40"/>
          <w:szCs w:val="40"/>
        </w:rPr>
        <w:t>25</w:t>
      </w:r>
      <w:r w:rsidR="00464B4C">
        <w:rPr>
          <w:rFonts w:ascii="Segoe UI" w:hAnsi="Segoe UI" w:cs="Segoe UI"/>
          <w:sz w:val="40"/>
          <w:szCs w:val="40"/>
        </w:rPr>
        <w:t xml:space="preserve"> </w:t>
      </w:r>
      <w:r w:rsidR="009B5902">
        <w:rPr>
          <w:rFonts w:ascii="Segoe UI" w:hAnsi="Segoe UI" w:cs="Segoe UI"/>
          <w:sz w:val="40"/>
          <w:szCs w:val="40"/>
        </w:rPr>
        <w:t>July</w:t>
      </w:r>
      <w:r w:rsidR="00FD0E32">
        <w:rPr>
          <w:rFonts w:ascii="Segoe UI" w:hAnsi="Segoe UI" w:cs="Segoe UI"/>
          <w:sz w:val="40"/>
          <w:szCs w:val="40"/>
        </w:rPr>
        <w:t xml:space="preserve"> </w:t>
      </w:r>
      <w:r w:rsidR="00464B4C">
        <w:rPr>
          <w:rFonts w:ascii="Segoe UI" w:hAnsi="Segoe UI" w:cs="Segoe UI"/>
          <w:sz w:val="40"/>
          <w:szCs w:val="40"/>
        </w:rPr>
        <w:t>2014</w:t>
      </w:r>
      <w:r w:rsidR="00021006" w:rsidRPr="00F92ED9">
        <w:rPr>
          <w:rFonts w:ascii="Segoe UI" w:hAnsi="Segoe UI" w:cs="Segoe UI"/>
          <w:sz w:val="40"/>
          <w:szCs w:val="40"/>
        </w:rPr>
        <w:tab/>
      </w:r>
      <w:r w:rsidR="00021006" w:rsidRPr="00F92ED9">
        <w:rPr>
          <w:rFonts w:ascii="Segoe UI" w:hAnsi="Segoe UI" w:cs="Segoe UI"/>
          <w:sz w:val="40"/>
          <w:szCs w:val="40"/>
        </w:rPr>
        <w:tab/>
      </w:r>
    </w:p>
    <w:p w14:paraId="2F876523" w14:textId="2D3E65D1" w:rsidR="00A04862" w:rsidRPr="00A04862" w:rsidRDefault="00A04862" w:rsidP="00A04862">
      <w:pPr>
        <w:pStyle w:val="StyleBasicParagraphLatinVerdana16ptCustomColorRGB"/>
        <w:rPr>
          <w:rFonts w:ascii="Segoe UI" w:hAnsi="Segoe UI" w:cs="Segoe UI"/>
          <w:sz w:val="40"/>
          <w:szCs w:val="40"/>
        </w:rPr>
      </w:pPr>
      <w:r>
        <w:rPr>
          <w:rFonts w:ascii="Segoe UI" w:hAnsi="Segoe UI" w:cs="Segoe UI"/>
          <w:bCs/>
          <w:spacing w:val="-3"/>
          <w:sz w:val="40"/>
          <w:szCs w:val="40"/>
        </w:rPr>
        <w:t>Version:</w:t>
      </w:r>
      <w:r>
        <w:rPr>
          <w:rFonts w:ascii="Segoe UI" w:hAnsi="Segoe UI" w:cs="Segoe UI"/>
          <w:bCs/>
          <w:spacing w:val="-3"/>
          <w:sz w:val="40"/>
          <w:szCs w:val="40"/>
        </w:rPr>
        <w:tab/>
      </w:r>
      <w:r>
        <w:rPr>
          <w:rFonts w:ascii="Segoe UI" w:hAnsi="Segoe UI" w:cs="Segoe UI"/>
          <w:bCs/>
          <w:spacing w:val="-3"/>
          <w:sz w:val="40"/>
          <w:szCs w:val="40"/>
        </w:rPr>
        <w:tab/>
      </w:r>
      <w:r>
        <w:rPr>
          <w:rFonts w:ascii="Segoe UI" w:hAnsi="Segoe UI" w:cs="Segoe UI"/>
          <w:bCs/>
          <w:spacing w:val="-3"/>
          <w:sz w:val="40"/>
          <w:szCs w:val="40"/>
        </w:rPr>
        <w:tab/>
      </w:r>
      <w:r w:rsidR="009B5902">
        <w:rPr>
          <w:rFonts w:ascii="Segoe UI" w:hAnsi="Segoe UI" w:cs="Segoe UI"/>
          <w:bCs/>
          <w:spacing w:val="-3"/>
          <w:sz w:val="40"/>
          <w:szCs w:val="40"/>
        </w:rPr>
        <w:t>1.0</w:t>
      </w:r>
    </w:p>
    <w:p w14:paraId="783FBB77" w14:textId="77777777" w:rsidR="00021006" w:rsidRPr="00F92ED9" w:rsidRDefault="00021006" w:rsidP="004B213F">
      <w:pPr>
        <w:pStyle w:val="StyleBasicParagraphLatinVerdana16ptCustomColorRGB"/>
        <w:rPr>
          <w:rFonts w:ascii="Segoe UI" w:hAnsi="Segoe UI" w:cs="Segoe UI"/>
          <w:sz w:val="40"/>
          <w:szCs w:val="40"/>
        </w:rPr>
      </w:pPr>
    </w:p>
    <w:p w14:paraId="4007B692" w14:textId="77777777" w:rsidR="00335B4D" w:rsidRPr="00BC3B7C" w:rsidRDefault="00335B4D" w:rsidP="009C113A">
      <w:pPr>
        <w:pStyle w:val="DocumentHistory"/>
        <w:jc w:val="left"/>
        <w:rPr>
          <w:sz w:val="24"/>
          <w:szCs w:val="24"/>
        </w:rPr>
      </w:pPr>
    </w:p>
    <w:p w14:paraId="02F3E013" w14:textId="77777777" w:rsidR="00335B4D" w:rsidRDefault="00335B4D" w:rsidP="00335B4D">
      <w:pPr>
        <w:pStyle w:val="DocumentHistory2"/>
        <w:jc w:val="center"/>
      </w:pPr>
      <w:r>
        <w:t>DOCUMENT HISTORY</w:t>
      </w:r>
    </w:p>
    <w:p w14:paraId="60E7F4FE" w14:textId="77777777" w:rsidR="00AC4359" w:rsidRPr="00B26471" w:rsidRDefault="00AC4359" w:rsidP="00AC4359">
      <w:pPr>
        <w:pStyle w:val="DocumentHistory2"/>
      </w:pPr>
      <w:r w:rsidRPr="00B26471">
        <w:t>File Details</w:t>
      </w:r>
    </w:p>
    <w:tbl>
      <w:tblPr>
        <w:tblW w:w="9288" w:type="dxa"/>
        <w:tblInd w:w="504" w:type="dxa"/>
        <w:tblLayout w:type="fixed"/>
        <w:tblCellMar>
          <w:left w:w="72" w:type="dxa"/>
          <w:right w:w="72" w:type="dxa"/>
        </w:tblCellMar>
        <w:tblLook w:val="0000" w:firstRow="0" w:lastRow="0" w:firstColumn="0" w:lastColumn="0" w:noHBand="0" w:noVBand="0"/>
      </w:tblPr>
      <w:tblGrid>
        <w:gridCol w:w="1895"/>
        <w:gridCol w:w="7393"/>
      </w:tblGrid>
      <w:tr w:rsidR="00AC4359" w:rsidRPr="00B26471" w14:paraId="4A0E211C" w14:textId="77777777" w:rsidTr="0070620E">
        <w:trPr>
          <w:trHeight w:val="300"/>
        </w:trPr>
        <w:tc>
          <w:tcPr>
            <w:tcW w:w="1895" w:type="dxa"/>
            <w:tcBorders>
              <w:top w:val="single" w:sz="6" w:space="0" w:color="auto"/>
              <w:left w:val="single" w:sz="6" w:space="0" w:color="auto"/>
              <w:bottom w:val="single" w:sz="6" w:space="0" w:color="auto"/>
              <w:right w:val="single" w:sz="6" w:space="0" w:color="auto"/>
            </w:tcBorders>
            <w:shd w:val="clear" w:color="auto" w:fill="E0E0E0"/>
          </w:tcPr>
          <w:p w14:paraId="3DAEA80A" w14:textId="77777777" w:rsidR="00AC4359" w:rsidRPr="00B26471" w:rsidRDefault="00AC4359" w:rsidP="00AC4359">
            <w:pPr>
              <w:pStyle w:val="TableHeading"/>
            </w:pPr>
            <w:r w:rsidRPr="00B26471">
              <w:t>File Location</w:t>
            </w:r>
          </w:p>
        </w:tc>
        <w:tc>
          <w:tcPr>
            <w:tcW w:w="7393" w:type="dxa"/>
            <w:tcBorders>
              <w:top w:val="single" w:sz="6" w:space="0" w:color="auto"/>
              <w:left w:val="single" w:sz="6" w:space="0" w:color="auto"/>
              <w:bottom w:val="single" w:sz="6" w:space="0" w:color="auto"/>
              <w:right w:val="single" w:sz="6" w:space="0" w:color="auto"/>
            </w:tcBorders>
          </w:tcPr>
          <w:p w14:paraId="70716A76" w14:textId="64F02D17" w:rsidR="00AC4359" w:rsidRPr="00B26471" w:rsidRDefault="00387BDF" w:rsidP="00AC4359">
            <w:pPr>
              <w:pStyle w:val="TableText"/>
            </w:pPr>
            <w:r w:rsidRPr="00387BDF">
              <w:t>Q:\Corporate Science Information\Science Monitoring Information\Science\CSG and Coal NPA\LEB Rivers\PAE\Final</w:t>
            </w:r>
          </w:p>
        </w:tc>
      </w:tr>
      <w:tr w:rsidR="00AC4359" w:rsidRPr="00B26471" w14:paraId="46AE598B" w14:textId="77777777" w:rsidTr="0070620E">
        <w:trPr>
          <w:trHeight w:val="300"/>
        </w:trPr>
        <w:tc>
          <w:tcPr>
            <w:tcW w:w="1895" w:type="dxa"/>
            <w:tcBorders>
              <w:top w:val="single" w:sz="6" w:space="0" w:color="auto"/>
              <w:left w:val="single" w:sz="6" w:space="0" w:color="auto"/>
              <w:bottom w:val="single" w:sz="6" w:space="0" w:color="auto"/>
              <w:right w:val="single" w:sz="6" w:space="0" w:color="auto"/>
            </w:tcBorders>
            <w:shd w:val="clear" w:color="auto" w:fill="E0E0E0"/>
          </w:tcPr>
          <w:p w14:paraId="1B190CE9" w14:textId="77777777" w:rsidR="00AC4359" w:rsidRPr="00B26471" w:rsidRDefault="00AC4359" w:rsidP="00AC4359">
            <w:pPr>
              <w:pStyle w:val="TableHeading"/>
            </w:pPr>
            <w:r w:rsidRPr="00B26471">
              <w:t>File Reference</w:t>
            </w:r>
          </w:p>
        </w:tc>
        <w:tc>
          <w:tcPr>
            <w:tcW w:w="7393" w:type="dxa"/>
            <w:tcBorders>
              <w:top w:val="single" w:sz="6" w:space="0" w:color="auto"/>
              <w:left w:val="single" w:sz="6" w:space="0" w:color="auto"/>
              <w:bottom w:val="single" w:sz="6" w:space="0" w:color="auto"/>
              <w:right w:val="single" w:sz="6" w:space="0" w:color="auto"/>
            </w:tcBorders>
          </w:tcPr>
          <w:p w14:paraId="2B11030A" w14:textId="77777777" w:rsidR="00AC4359" w:rsidRPr="00B26471" w:rsidRDefault="00AC4359" w:rsidP="00AC4359">
            <w:pPr>
              <w:pStyle w:val="TableText"/>
            </w:pPr>
          </w:p>
        </w:tc>
      </w:tr>
    </w:tbl>
    <w:p w14:paraId="29AE0B34" w14:textId="77777777" w:rsidR="00AC4359" w:rsidRPr="00B26471" w:rsidRDefault="00AC4359" w:rsidP="00AC4359">
      <w:pPr>
        <w:pStyle w:val="DocumentHistory2"/>
      </w:pPr>
      <w:r w:rsidRPr="00B26471">
        <w:t>Document Revision/Release Status</w:t>
      </w:r>
    </w:p>
    <w:tbl>
      <w:tblPr>
        <w:tblW w:w="9288" w:type="dxa"/>
        <w:tblInd w:w="50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2" w:type="dxa"/>
          <w:right w:w="72" w:type="dxa"/>
        </w:tblCellMar>
        <w:tblLook w:val="0000" w:firstRow="0" w:lastRow="0" w:firstColumn="0" w:lastColumn="0" w:noHBand="0" w:noVBand="0"/>
      </w:tblPr>
      <w:tblGrid>
        <w:gridCol w:w="993"/>
        <w:gridCol w:w="1095"/>
        <w:gridCol w:w="3330"/>
        <w:gridCol w:w="2070"/>
        <w:gridCol w:w="1800"/>
      </w:tblGrid>
      <w:tr w:rsidR="00AC4359" w:rsidRPr="00B26471" w14:paraId="4DFE75C1" w14:textId="77777777" w:rsidTr="00AC4359">
        <w:trPr>
          <w:cantSplit/>
          <w:trHeight w:val="342"/>
          <w:tblHeader/>
        </w:trPr>
        <w:tc>
          <w:tcPr>
            <w:tcW w:w="993" w:type="dxa"/>
            <w:shd w:val="clear" w:color="auto" w:fill="E6E6E6"/>
          </w:tcPr>
          <w:p w14:paraId="14F09E56" w14:textId="77777777" w:rsidR="00AC4359" w:rsidRPr="00B26471" w:rsidRDefault="00AC4359" w:rsidP="00AC4359">
            <w:pPr>
              <w:pStyle w:val="TableHeading"/>
            </w:pPr>
            <w:r w:rsidRPr="00B26471">
              <w:t>Version</w:t>
            </w:r>
          </w:p>
        </w:tc>
        <w:tc>
          <w:tcPr>
            <w:tcW w:w="1095" w:type="dxa"/>
            <w:shd w:val="clear" w:color="auto" w:fill="E6E6E6"/>
          </w:tcPr>
          <w:p w14:paraId="6DF717EA" w14:textId="77777777" w:rsidR="00AC4359" w:rsidRPr="00B26471" w:rsidRDefault="00AC4359" w:rsidP="00AC4359">
            <w:pPr>
              <w:pStyle w:val="TableHeading"/>
            </w:pPr>
            <w:r w:rsidRPr="00B26471">
              <w:t>Date</w:t>
            </w:r>
          </w:p>
        </w:tc>
        <w:tc>
          <w:tcPr>
            <w:tcW w:w="3330" w:type="dxa"/>
            <w:shd w:val="clear" w:color="auto" w:fill="E6E6E6"/>
          </w:tcPr>
          <w:p w14:paraId="3B5D6192" w14:textId="77777777" w:rsidR="00AC4359" w:rsidRPr="00B26471" w:rsidRDefault="00AC4359" w:rsidP="00AC4359">
            <w:pPr>
              <w:pStyle w:val="TableHeading"/>
            </w:pPr>
            <w:r w:rsidRPr="00B26471">
              <w:t>Summary of Changes</w:t>
            </w:r>
          </w:p>
        </w:tc>
        <w:tc>
          <w:tcPr>
            <w:tcW w:w="2070" w:type="dxa"/>
            <w:shd w:val="clear" w:color="auto" w:fill="E6E6E6"/>
          </w:tcPr>
          <w:p w14:paraId="0874F7BB" w14:textId="77777777" w:rsidR="00AC4359" w:rsidRPr="00B26471" w:rsidRDefault="00AC4359" w:rsidP="00AC4359">
            <w:pPr>
              <w:pStyle w:val="TableHeading"/>
            </w:pPr>
            <w:r w:rsidRPr="00B26471">
              <w:t>Author / Editor</w:t>
            </w:r>
          </w:p>
        </w:tc>
        <w:tc>
          <w:tcPr>
            <w:tcW w:w="1800" w:type="dxa"/>
            <w:shd w:val="clear" w:color="auto" w:fill="E6E6E6"/>
          </w:tcPr>
          <w:p w14:paraId="0A5084AC" w14:textId="77777777" w:rsidR="00AC4359" w:rsidRPr="00B26471" w:rsidRDefault="00AC4359" w:rsidP="00AC4359">
            <w:pPr>
              <w:pStyle w:val="TableHeading"/>
            </w:pPr>
            <w:r w:rsidRPr="00B26471">
              <w:t>Quality Review</w:t>
            </w:r>
          </w:p>
        </w:tc>
      </w:tr>
      <w:tr w:rsidR="00AC4359" w:rsidRPr="00B26471" w14:paraId="2C3FB556" w14:textId="77777777" w:rsidTr="00AC4359">
        <w:trPr>
          <w:cantSplit/>
          <w:trHeight w:val="300"/>
        </w:trPr>
        <w:tc>
          <w:tcPr>
            <w:tcW w:w="993" w:type="dxa"/>
          </w:tcPr>
          <w:p w14:paraId="35F83A97" w14:textId="44483D46" w:rsidR="00AC4359" w:rsidRPr="00B26471" w:rsidRDefault="00FD0E32" w:rsidP="00AC4359">
            <w:pPr>
              <w:pStyle w:val="TableText"/>
            </w:pPr>
            <w:r>
              <w:t>B</w:t>
            </w:r>
          </w:p>
        </w:tc>
        <w:tc>
          <w:tcPr>
            <w:tcW w:w="1095" w:type="dxa"/>
          </w:tcPr>
          <w:p w14:paraId="0EEC85A8" w14:textId="2F9DDDF4" w:rsidR="00AC4359" w:rsidRPr="00B26471" w:rsidRDefault="00FD0E32" w:rsidP="00CE216E">
            <w:pPr>
              <w:pStyle w:val="TableText"/>
            </w:pPr>
            <w:r>
              <w:t>20/01/14</w:t>
            </w:r>
          </w:p>
        </w:tc>
        <w:tc>
          <w:tcPr>
            <w:tcW w:w="3330" w:type="dxa"/>
          </w:tcPr>
          <w:p w14:paraId="22D0267F" w14:textId="688BB938" w:rsidR="00AC4359" w:rsidRPr="00B26471" w:rsidRDefault="00FD0E32" w:rsidP="00AC4359">
            <w:pPr>
              <w:pStyle w:val="TableText"/>
            </w:pPr>
            <w:r>
              <w:t>C Miles comments addressed</w:t>
            </w:r>
          </w:p>
        </w:tc>
        <w:tc>
          <w:tcPr>
            <w:tcW w:w="2070" w:type="dxa"/>
          </w:tcPr>
          <w:p w14:paraId="26618CE9" w14:textId="572B471F" w:rsidR="00AC4359" w:rsidRPr="00B26471" w:rsidRDefault="00FD0E32" w:rsidP="00432DA7">
            <w:pPr>
              <w:pStyle w:val="TableText"/>
            </w:pPr>
            <w:r>
              <w:t>A</w:t>
            </w:r>
            <w:r w:rsidR="00387BDF">
              <w:t xml:space="preserve"> </w:t>
            </w:r>
            <w:r>
              <w:t>H</w:t>
            </w:r>
            <w:r w:rsidR="00387BDF">
              <w:t>arrison</w:t>
            </w:r>
          </w:p>
        </w:tc>
        <w:tc>
          <w:tcPr>
            <w:tcW w:w="1800" w:type="dxa"/>
          </w:tcPr>
          <w:p w14:paraId="07679805" w14:textId="77777777" w:rsidR="00432DA7" w:rsidRPr="00B26471" w:rsidRDefault="00432DA7" w:rsidP="00AC4359">
            <w:pPr>
              <w:pStyle w:val="TableText"/>
            </w:pPr>
          </w:p>
        </w:tc>
      </w:tr>
      <w:tr w:rsidR="000343FD" w:rsidRPr="00B26471" w14:paraId="680B4744" w14:textId="77777777" w:rsidTr="00AC4359">
        <w:trPr>
          <w:cantSplit/>
          <w:trHeight w:val="300"/>
        </w:trPr>
        <w:tc>
          <w:tcPr>
            <w:tcW w:w="993" w:type="dxa"/>
          </w:tcPr>
          <w:p w14:paraId="231C5C97" w14:textId="45DEBDA8" w:rsidR="000343FD" w:rsidRDefault="00CE216E" w:rsidP="00AC4359">
            <w:pPr>
              <w:pStyle w:val="TableText"/>
            </w:pPr>
            <w:r>
              <w:t>C</w:t>
            </w:r>
          </w:p>
        </w:tc>
        <w:tc>
          <w:tcPr>
            <w:tcW w:w="1095" w:type="dxa"/>
          </w:tcPr>
          <w:p w14:paraId="1218D71D" w14:textId="6D363238" w:rsidR="000343FD" w:rsidRDefault="00CE216E" w:rsidP="00CE216E">
            <w:pPr>
              <w:pStyle w:val="TableText"/>
            </w:pPr>
            <w:r>
              <w:t>22/01/14</w:t>
            </w:r>
          </w:p>
        </w:tc>
        <w:tc>
          <w:tcPr>
            <w:tcW w:w="3330" w:type="dxa"/>
          </w:tcPr>
          <w:p w14:paraId="5E01273C" w14:textId="7DA78B6B" w:rsidR="000343FD" w:rsidRDefault="00CE216E" w:rsidP="00AC4359">
            <w:pPr>
              <w:pStyle w:val="TableText"/>
            </w:pPr>
            <w:r>
              <w:t>L Sampson comments addressed</w:t>
            </w:r>
            <w:r w:rsidR="003A4F19">
              <w:t>, GIS assumptions incorporated</w:t>
            </w:r>
          </w:p>
        </w:tc>
        <w:tc>
          <w:tcPr>
            <w:tcW w:w="2070" w:type="dxa"/>
          </w:tcPr>
          <w:p w14:paraId="6D4B0F5F" w14:textId="5E77EB8B" w:rsidR="000343FD" w:rsidRDefault="00387BDF" w:rsidP="00AC4359">
            <w:pPr>
              <w:pStyle w:val="TableText"/>
            </w:pPr>
            <w:r>
              <w:t>A Harrison</w:t>
            </w:r>
          </w:p>
        </w:tc>
        <w:tc>
          <w:tcPr>
            <w:tcW w:w="1800" w:type="dxa"/>
          </w:tcPr>
          <w:p w14:paraId="7399A2E6" w14:textId="77777777" w:rsidR="000343FD" w:rsidRPr="00B26471" w:rsidRDefault="000343FD" w:rsidP="00AC4359">
            <w:pPr>
              <w:pStyle w:val="TableText"/>
            </w:pPr>
          </w:p>
        </w:tc>
      </w:tr>
      <w:tr w:rsidR="005A2346" w:rsidRPr="00B26471" w14:paraId="1232D17A" w14:textId="77777777" w:rsidTr="00AC4359">
        <w:trPr>
          <w:cantSplit/>
          <w:trHeight w:val="300"/>
        </w:trPr>
        <w:tc>
          <w:tcPr>
            <w:tcW w:w="993" w:type="dxa"/>
          </w:tcPr>
          <w:p w14:paraId="13B9E355" w14:textId="3BA3D5C9" w:rsidR="005A2346" w:rsidRDefault="00105756" w:rsidP="00AC4359">
            <w:pPr>
              <w:pStyle w:val="TableText"/>
            </w:pPr>
            <w:r>
              <w:t>D</w:t>
            </w:r>
          </w:p>
        </w:tc>
        <w:tc>
          <w:tcPr>
            <w:tcW w:w="1095" w:type="dxa"/>
          </w:tcPr>
          <w:p w14:paraId="5D52EF5F" w14:textId="174D5165" w:rsidR="005A2346" w:rsidRDefault="00105756" w:rsidP="00AC4359">
            <w:pPr>
              <w:pStyle w:val="TableText"/>
            </w:pPr>
            <w:r>
              <w:t>3/02/2014</w:t>
            </w:r>
          </w:p>
        </w:tc>
        <w:tc>
          <w:tcPr>
            <w:tcW w:w="3330" w:type="dxa"/>
          </w:tcPr>
          <w:p w14:paraId="51B5F1E4" w14:textId="22231E9D" w:rsidR="005A2346" w:rsidRDefault="00105756" w:rsidP="00AC4359">
            <w:pPr>
              <w:pStyle w:val="TableText"/>
            </w:pPr>
            <w:r>
              <w:t>Final comments from DEWNR team</w:t>
            </w:r>
          </w:p>
        </w:tc>
        <w:tc>
          <w:tcPr>
            <w:tcW w:w="2070" w:type="dxa"/>
          </w:tcPr>
          <w:p w14:paraId="4C0DA4A0" w14:textId="0484D7BB" w:rsidR="005A2346" w:rsidRDefault="00387BDF" w:rsidP="00AC4359">
            <w:pPr>
              <w:pStyle w:val="TableText"/>
            </w:pPr>
            <w:r>
              <w:t>A Harrison</w:t>
            </w:r>
          </w:p>
        </w:tc>
        <w:tc>
          <w:tcPr>
            <w:tcW w:w="1800" w:type="dxa"/>
          </w:tcPr>
          <w:p w14:paraId="42715E13" w14:textId="77777777" w:rsidR="005A2346" w:rsidRDefault="005A2346" w:rsidP="00AC4359">
            <w:pPr>
              <w:pStyle w:val="TableText"/>
            </w:pPr>
          </w:p>
        </w:tc>
      </w:tr>
      <w:tr w:rsidR="00105756" w:rsidRPr="00B26471" w14:paraId="22BDC3D2" w14:textId="77777777" w:rsidTr="00AC4359">
        <w:trPr>
          <w:cantSplit/>
          <w:trHeight w:val="300"/>
        </w:trPr>
        <w:tc>
          <w:tcPr>
            <w:tcW w:w="993" w:type="dxa"/>
          </w:tcPr>
          <w:p w14:paraId="429AEF3D" w14:textId="6402D8B1" w:rsidR="00105756" w:rsidRDefault="00105756" w:rsidP="00105756">
            <w:pPr>
              <w:pStyle w:val="TableText"/>
            </w:pPr>
            <w:r>
              <w:t>Draft 0.1</w:t>
            </w:r>
          </w:p>
        </w:tc>
        <w:tc>
          <w:tcPr>
            <w:tcW w:w="1095" w:type="dxa"/>
          </w:tcPr>
          <w:p w14:paraId="4CD8E0A9" w14:textId="7686BD46" w:rsidR="00105756" w:rsidRDefault="00105756" w:rsidP="00105756">
            <w:pPr>
              <w:pStyle w:val="TableText"/>
            </w:pPr>
            <w:r>
              <w:t>3/02/2014</w:t>
            </w:r>
          </w:p>
        </w:tc>
        <w:tc>
          <w:tcPr>
            <w:tcW w:w="3330" w:type="dxa"/>
          </w:tcPr>
          <w:p w14:paraId="372F83A5" w14:textId="5C3FD8BD" w:rsidR="00105756" w:rsidRDefault="00105756" w:rsidP="00105756">
            <w:pPr>
              <w:pStyle w:val="TableText"/>
            </w:pPr>
            <w:r>
              <w:t>Draft issued to Geoscience Australia</w:t>
            </w:r>
          </w:p>
        </w:tc>
        <w:tc>
          <w:tcPr>
            <w:tcW w:w="2070" w:type="dxa"/>
          </w:tcPr>
          <w:p w14:paraId="34DA1906" w14:textId="0C45F33E" w:rsidR="00105756" w:rsidRDefault="00387BDF" w:rsidP="00105756">
            <w:pPr>
              <w:pStyle w:val="TableText"/>
            </w:pPr>
            <w:r>
              <w:t>A Harrison</w:t>
            </w:r>
          </w:p>
        </w:tc>
        <w:tc>
          <w:tcPr>
            <w:tcW w:w="1800" w:type="dxa"/>
          </w:tcPr>
          <w:p w14:paraId="2DFECAFB" w14:textId="01663770" w:rsidR="00105756" w:rsidRDefault="00387BDF" w:rsidP="00387BDF">
            <w:pPr>
              <w:pStyle w:val="TableText"/>
            </w:pPr>
            <w:r>
              <w:t>L Sampson</w:t>
            </w:r>
          </w:p>
        </w:tc>
      </w:tr>
      <w:tr w:rsidR="00105756" w:rsidRPr="00B26471" w14:paraId="48DFAE1F" w14:textId="77777777" w:rsidTr="00AC4359">
        <w:trPr>
          <w:cantSplit/>
          <w:trHeight w:val="300"/>
        </w:trPr>
        <w:tc>
          <w:tcPr>
            <w:tcW w:w="993" w:type="dxa"/>
          </w:tcPr>
          <w:p w14:paraId="650E1173" w14:textId="72D4A5D4" w:rsidR="00105756" w:rsidRDefault="00522190" w:rsidP="00105756">
            <w:pPr>
              <w:pStyle w:val="TableText"/>
            </w:pPr>
            <w:r>
              <w:t>Draft 0.2</w:t>
            </w:r>
          </w:p>
        </w:tc>
        <w:tc>
          <w:tcPr>
            <w:tcW w:w="1095" w:type="dxa"/>
          </w:tcPr>
          <w:p w14:paraId="67C05186" w14:textId="62EAA069" w:rsidR="00105756" w:rsidRDefault="00522190" w:rsidP="00105756">
            <w:pPr>
              <w:pStyle w:val="TableText"/>
            </w:pPr>
            <w:r>
              <w:t>1/04/2014</w:t>
            </w:r>
          </w:p>
        </w:tc>
        <w:tc>
          <w:tcPr>
            <w:tcW w:w="3330" w:type="dxa"/>
          </w:tcPr>
          <w:p w14:paraId="58047F55" w14:textId="50F96260" w:rsidR="00105756" w:rsidRDefault="00387BDF" w:rsidP="00387BDF">
            <w:pPr>
              <w:pStyle w:val="TableText"/>
            </w:pPr>
            <w:r>
              <w:t>Addressing c</w:t>
            </w:r>
            <w:r w:rsidR="00522190">
              <w:t>omments from Geoscience Australia</w:t>
            </w:r>
            <w:r w:rsidR="00E2794E">
              <w:t xml:space="preserve"> and additional workshop</w:t>
            </w:r>
            <w:r>
              <w:t>s</w:t>
            </w:r>
          </w:p>
        </w:tc>
        <w:tc>
          <w:tcPr>
            <w:tcW w:w="2070" w:type="dxa"/>
          </w:tcPr>
          <w:p w14:paraId="3F95D12C" w14:textId="4B0DD74A" w:rsidR="00105756" w:rsidRDefault="00387BDF" w:rsidP="00105756">
            <w:pPr>
              <w:pStyle w:val="TableText"/>
            </w:pPr>
            <w:r>
              <w:t>A Harrison</w:t>
            </w:r>
          </w:p>
        </w:tc>
        <w:tc>
          <w:tcPr>
            <w:tcW w:w="1800" w:type="dxa"/>
          </w:tcPr>
          <w:p w14:paraId="71865109" w14:textId="796A0868" w:rsidR="00105756" w:rsidRDefault="00522190" w:rsidP="00387BDF">
            <w:pPr>
              <w:pStyle w:val="TableText"/>
            </w:pPr>
            <w:r>
              <w:t>L Sampson</w:t>
            </w:r>
          </w:p>
        </w:tc>
      </w:tr>
      <w:tr w:rsidR="00387BDF" w:rsidRPr="00B26471" w14:paraId="29ED7F22" w14:textId="77777777" w:rsidTr="00AC4359">
        <w:trPr>
          <w:cantSplit/>
          <w:trHeight w:val="300"/>
        </w:trPr>
        <w:tc>
          <w:tcPr>
            <w:tcW w:w="993" w:type="dxa"/>
          </w:tcPr>
          <w:p w14:paraId="44824E13" w14:textId="17330442" w:rsidR="00387BDF" w:rsidRDefault="00387BDF" w:rsidP="00387BDF">
            <w:pPr>
              <w:pStyle w:val="TableText"/>
            </w:pPr>
            <w:r>
              <w:t>Rev 1.0</w:t>
            </w:r>
          </w:p>
        </w:tc>
        <w:tc>
          <w:tcPr>
            <w:tcW w:w="1095" w:type="dxa"/>
          </w:tcPr>
          <w:p w14:paraId="55FA12C8" w14:textId="1B3727B4" w:rsidR="00387BDF" w:rsidRDefault="00387BDF" w:rsidP="00387BDF">
            <w:pPr>
              <w:pStyle w:val="TableText"/>
            </w:pPr>
            <w:r>
              <w:t>25/07/14</w:t>
            </w:r>
          </w:p>
        </w:tc>
        <w:tc>
          <w:tcPr>
            <w:tcW w:w="3330" w:type="dxa"/>
          </w:tcPr>
          <w:p w14:paraId="75AF615D" w14:textId="2DFAE20F" w:rsidR="00387BDF" w:rsidRDefault="00387BDF" w:rsidP="00387BDF">
            <w:pPr>
              <w:pStyle w:val="TableText"/>
            </w:pPr>
            <w:r>
              <w:t>Issued to OWS</w:t>
            </w:r>
          </w:p>
        </w:tc>
        <w:tc>
          <w:tcPr>
            <w:tcW w:w="2070" w:type="dxa"/>
          </w:tcPr>
          <w:p w14:paraId="64371D67" w14:textId="67EEECF1" w:rsidR="00387BDF" w:rsidRDefault="00387BDF" w:rsidP="00387BDF">
            <w:pPr>
              <w:pStyle w:val="TableText"/>
            </w:pPr>
            <w:r>
              <w:t>A Harrison</w:t>
            </w:r>
          </w:p>
        </w:tc>
        <w:tc>
          <w:tcPr>
            <w:tcW w:w="1800" w:type="dxa"/>
          </w:tcPr>
          <w:p w14:paraId="316FD28F" w14:textId="5404B8B5" w:rsidR="00387BDF" w:rsidRDefault="00387BDF" w:rsidP="00387BDF">
            <w:pPr>
              <w:pStyle w:val="TableText"/>
            </w:pPr>
            <w:r>
              <w:t>L Sampson</w:t>
            </w:r>
          </w:p>
        </w:tc>
      </w:tr>
    </w:tbl>
    <w:p w14:paraId="4827ABCF" w14:textId="77777777" w:rsidR="00AC4359" w:rsidRPr="00B26471" w:rsidRDefault="00AC4359" w:rsidP="00AC4359">
      <w:pPr>
        <w:pStyle w:val="BodyText2"/>
      </w:pPr>
      <w:r w:rsidRPr="00B26471">
        <w:t xml:space="preserve"> </w:t>
      </w:r>
    </w:p>
    <w:p w14:paraId="34F70828" w14:textId="77777777" w:rsidR="00C572F0" w:rsidRPr="002D157F" w:rsidRDefault="00C572F0" w:rsidP="00C572F0">
      <w:pPr>
        <w:pStyle w:val="BodyText"/>
      </w:pPr>
    </w:p>
    <w:p w14:paraId="0400A5DA" w14:textId="77777777" w:rsidR="00B62652" w:rsidRPr="00E2794E" w:rsidRDefault="002D7835" w:rsidP="00E2794E">
      <w:pPr>
        <w:rPr>
          <w:b/>
          <w:caps/>
        </w:rPr>
      </w:pPr>
      <w:bookmarkStart w:id="0" w:name="_Toc384127941"/>
      <w:r w:rsidRPr="00E2794E">
        <w:rPr>
          <w:b/>
        </w:rPr>
        <w:t>Reference</w:t>
      </w:r>
      <w:bookmarkEnd w:id="0"/>
    </w:p>
    <w:tbl>
      <w:tblPr>
        <w:tblW w:w="9349" w:type="dxa"/>
        <w:tblInd w:w="50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2" w:type="dxa"/>
          <w:right w:w="72" w:type="dxa"/>
        </w:tblCellMar>
        <w:tblLook w:val="0000" w:firstRow="0" w:lastRow="0" w:firstColumn="0" w:lastColumn="0" w:noHBand="0" w:noVBand="0"/>
      </w:tblPr>
      <w:tblGrid>
        <w:gridCol w:w="9349"/>
      </w:tblGrid>
      <w:tr w:rsidR="00CE46A7" w:rsidRPr="00B26471" w14:paraId="6CF44D2B" w14:textId="77777777" w:rsidTr="00CE46A7">
        <w:trPr>
          <w:cantSplit/>
          <w:trHeight w:val="342"/>
          <w:tblHeader/>
        </w:trPr>
        <w:tc>
          <w:tcPr>
            <w:tcW w:w="9349" w:type="dxa"/>
            <w:shd w:val="clear" w:color="auto" w:fill="E6E6E6"/>
          </w:tcPr>
          <w:p w14:paraId="27E73BF7" w14:textId="77777777" w:rsidR="00CE46A7" w:rsidRPr="00B26471" w:rsidRDefault="00CE46A7" w:rsidP="00A46CCB">
            <w:pPr>
              <w:pStyle w:val="TableHeading"/>
            </w:pPr>
            <w:r>
              <w:t>Document</w:t>
            </w:r>
          </w:p>
        </w:tc>
      </w:tr>
      <w:tr w:rsidR="00CE46A7" w:rsidRPr="00B26471" w14:paraId="2B4DC4C9" w14:textId="77777777" w:rsidTr="00CE46A7">
        <w:trPr>
          <w:cantSplit/>
          <w:trHeight w:val="300"/>
        </w:trPr>
        <w:tc>
          <w:tcPr>
            <w:tcW w:w="9349" w:type="dxa"/>
          </w:tcPr>
          <w:p w14:paraId="73414DAC" w14:textId="3F54361C" w:rsidR="00CE46A7" w:rsidRDefault="00E2794E" w:rsidP="00387BDF">
            <w:pPr>
              <w:pStyle w:val="TableText"/>
            </w:pPr>
            <w:r>
              <w:t xml:space="preserve">Rev </w:t>
            </w:r>
            <w:r w:rsidR="00387BDF">
              <w:t>1.0</w:t>
            </w:r>
            <w:r>
              <w:t xml:space="preserve"> </w:t>
            </w:r>
            <w:r w:rsidR="0099001E">
              <w:t xml:space="preserve">Preliminary Assessment Extent </w:t>
            </w:r>
            <w:r w:rsidR="00522190">
              <w:t xml:space="preserve">for </w:t>
            </w:r>
            <w:proofErr w:type="spellStart"/>
            <w:r w:rsidR="00522190">
              <w:t>Pedirka</w:t>
            </w:r>
            <w:proofErr w:type="spellEnd"/>
            <w:r w:rsidR="00522190">
              <w:t xml:space="preserve"> and </w:t>
            </w:r>
            <w:proofErr w:type="spellStart"/>
            <w:r w:rsidR="00522190">
              <w:t>Arckaringa</w:t>
            </w:r>
            <w:proofErr w:type="spellEnd"/>
            <w:r w:rsidR="00522190">
              <w:t xml:space="preserve"> Basins, </w:t>
            </w:r>
            <w:r w:rsidR="0099001E">
              <w:t xml:space="preserve">provided to </w:t>
            </w:r>
            <w:r w:rsidR="00387BDF">
              <w:t>Office of Water Science, Department of the Environment</w:t>
            </w:r>
          </w:p>
        </w:tc>
      </w:tr>
      <w:tr w:rsidR="00CE46A7" w:rsidRPr="00B26471" w14:paraId="7B6BFE7E" w14:textId="77777777" w:rsidTr="00CE46A7">
        <w:trPr>
          <w:cantSplit/>
          <w:trHeight w:val="300"/>
        </w:trPr>
        <w:tc>
          <w:tcPr>
            <w:tcW w:w="9349" w:type="dxa"/>
          </w:tcPr>
          <w:p w14:paraId="61830BE3" w14:textId="77777777" w:rsidR="00CE46A7" w:rsidRDefault="00CE46A7" w:rsidP="00A46CCB">
            <w:pPr>
              <w:pStyle w:val="TableText"/>
            </w:pPr>
          </w:p>
        </w:tc>
      </w:tr>
      <w:tr w:rsidR="00CE46A7" w:rsidRPr="00B26471" w14:paraId="56F322C1" w14:textId="77777777" w:rsidTr="00CE46A7">
        <w:trPr>
          <w:cantSplit/>
          <w:trHeight w:val="300"/>
        </w:trPr>
        <w:tc>
          <w:tcPr>
            <w:tcW w:w="9349" w:type="dxa"/>
          </w:tcPr>
          <w:p w14:paraId="790F31B7" w14:textId="77777777" w:rsidR="00CE46A7" w:rsidRDefault="00CE46A7" w:rsidP="00A46CCB">
            <w:pPr>
              <w:pStyle w:val="TableText"/>
            </w:pPr>
          </w:p>
        </w:tc>
      </w:tr>
      <w:tr w:rsidR="00CE46A7" w:rsidRPr="00B26471" w14:paraId="50CC579A" w14:textId="77777777" w:rsidTr="00CE46A7">
        <w:trPr>
          <w:cantSplit/>
          <w:trHeight w:val="300"/>
        </w:trPr>
        <w:tc>
          <w:tcPr>
            <w:tcW w:w="9349" w:type="dxa"/>
          </w:tcPr>
          <w:p w14:paraId="488927E5" w14:textId="77777777" w:rsidR="00CE46A7" w:rsidRPr="00B26471" w:rsidRDefault="00CE46A7" w:rsidP="00A46CCB">
            <w:pPr>
              <w:pStyle w:val="TableText"/>
            </w:pPr>
          </w:p>
        </w:tc>
      </w:tr>
      <w:tr w:rsidR="00CE46A7" w:rsidRPr="00B26471" w14:paraId="0586B0DD" w14:textId="77777777" w:rsidTr="00CE46A7">
        <w:trPr>
          <w:cantSplit/>
          <w:trHeight w:val="300"/>
        </w:trPr>
        <w:tc>
          <w:tcPr>
            <w:tcW w:w="9349" w:type="dxa"/>
          </w:tcPr>
          <w:p w14:paraId="4A499FDD" w14:textId="77777777" w:rsidR="00CE46A7" w:rsidRDefault="00CE46A7" w:rsidP="00A46CCB">
            <w:pPr>
              <w:pStyle w:val="TableText"/>
            </w:pPr>
          </w:p>
        </w:tc>
      </w:tr>
      <w:tr w:rsidR="00CE46A7" w:rsidRPr="00B26471" w14:paraId="5DF56DFA" w14:textId="77777777" w:rsidTr="00CE46A7">
        <w:trPr>
          <w:cantSplit/>
          <w:trHeight w:val="300"/>
        </w:trPr>
        <w:tc>
          <w:tcPr>
            <w:tcW w:w="9349" w:type="dxa"/>
          </w:tcPr>
          <w:p w14:paraId="1B3BBE04" w14:textId="77777777" w:rsidR="00CE46A7" w:rsidRDefault="00CE46A7" w:rsidP="00A46CCB">
            <w:pPr>
              <w:pStyle w:val="TableText"/>
            </w:pPr>
          </w:p>
        </w:tc>
      </w:tr>
    </w:tbl>
    <w:p w14:paraId="2B88F773" w14:textId="77777777" w:rsidR="00335B4D" w:rsidRDefault="00E91843" w:rsidP="002D7835">
      <w:pPr>
        <w:pStyle w:val="Heading1"/>
        <w:numPr>
          <w:ilvl w:val="0"/>
          <w:numId w:val="0"/>
        </w:numPr>
      </w:pPr>
      <w:r>
        <w:br w:type="page"/>
      </w:r>
      <w:bookmarkStart w:id="1" w:name="_Toc394076575"/>
      <w:r w:rsidR="00335B4D">
        <w:lastRenderedPageBreak/>
        <w:t>TABLE OF CONTENTS</w:t>
      </w:r>
      <w:bookmarkEnd w:id="1"/>
    </w:p>
    <w:p w14:paraId="4089B245" w14:textId="77777777" w:rsidR="00335B4D" w:rsidRDefault="00335B4D">
      <w:pPr>
        <w:pStyle w:val="TOC1"/>
        <w:rPr>
          <w:bCs w:val="0"/>
          <w:i/>
          <w:iCs/>
          <w:sz w:val="24"/>
        </w:rPr>
      </w:pPr>
    </w:p>
    <w:p w14:paraId="7D88E372" w14:textId="77777777" w:rsidR="00335B4D" w:rsidRDefault="00335B4D">
      <w:pPr>
        <w:pStyle w:val="TOC1"/>
        <w:rPr>
          <w:bCs w:val="0"/>
          <w:i/>
          <w:iCs/>
          <w:sz w:val="24"/>
        </w:rPr>
      </w:pPr>
    </w:p>
    <w:p w14:paraId="5B5A999B" w14:textId="77777777" w:rsidR="001D1CDA" w:rsidRDefault="005C38F0">
      <w:pPr>
        <w:pStyle w:val="TOC1"/>
        <w:rPr>
          <w:rFonts w:asciiTheme="minorHAnsi" w:eastAsiaTheme="minorEastAsia" w:hAnsiTheme="minorHAnsi" w:cstheme="minorBidi"/>
          <w:b w:val="0"/>
          <w:bCs w:val="0"/>
          <w:caps w:val="0"/>
          <w:noProof/>
          <w:sz w:val="22"/>
          <w:szCs w:val="22"/>
          <w:lang w:val="en-AU" w:eastAsia="en-AU"/>
        </w:rPr>
      </w:pPr>
      <w:r>
        <w:rPr>
          <w:b w:val="0"/>
          <w:i/>
          <w:iCs/>
          <w:caps w:val="0"/>
          <w:sz w:val="24"/>
        </w:rPr>
        <w:fldChar w:fldCharType="begin"/>
      </w:r>
      <w:r>
        <w:rPr>
          <w:b w:val="0"/>
          <w:i/>
          <w:iCs/>
          <w:caps w:val="0"/>
          <w:sz w:val="24"/>
        </w:rPr>
        <w:instrText xml:space="preserve"> TOC \o "1-3" \h \z </w:instrText>
      </w:r>
      <w:r>
        <w:rPr>
          <w:b w:val="0"/>
          <w:i/>
          <w:iCs/>
          <w:caps w:val="0"/>
          <w:sz w:val="24"/>
        </w:rPr>
        <w:fldChar w:fldCharType="separate"/>
      </w:r>
      <w:hyperlink w:anchor="_Toc394076575" w:history="1">
        <w:r w:rsidR="001D1CDA" w:rsidRPr="00E43404">
          <w:rPr>
            <w:rStyle w:val="Hyperlink"/>
            <w:noProof/>
          </w:rPr>
          <w:t>TABLE OF CONTENTS</w:t>
        </w:r>
        <w:r w:rsidR="001D1CDA">
          <w:rPr>
            <w:noProof/>
            <w:webHidden/>
          </w:rPr>
          <w:tab/>
        </w:r>
        <w:r w:rsidR="001D1CDA">
          <w:rPr>
            <w:noProof/>
            <w:webHidden/>
          </w:rPr>
          <w:fldChar w:fldCharType="begin"/>
        </w:r>
        <w:r w:rsidR="001D1CDA">
          <w:rPr>
            <w:noProof/>
            <w:webHidden/>
          </w:rPr>
          <w:instrText xml:space="preserve"> PAGEREF _Toc394076575 \h </w:instrText>
        </w:r>
        <w:r w:rsidR="001D1CDA">
          <w:rPr>
            <w:noProof/>
            <w:webHidden/>
          </w:rPr>
        </w:r>
        <w:r w:rsidR="001D1CDA">
          <w:rPr>
            <w:noProof/>
            <w:webHidden/>
          </w:rPr>
          <w:fldChar w:fldCharType="separate"/>
        </w:r>
        <w:r w:rsidR="001D1CDA">
          <w:rPr>
            <w:noProof/>
            <w:webHidden/>
          </w:rPr>
          <w:t>iii</w:t>
        </w:r>
        <w:r w:rsidR="001D1CDA">
          <w:rPr>
            <w:noProof/>
            <w:webHidden/>
          </w:rPr>
          <w:fldChar w:fldCharType="end"/>
        </w:r>
      </w:hyperlink>
    </w:p>
    <w:p w14:paraId="3DC3C2D9" w14:textId="77777777" w:rsidR="001D1CDA" w:rsidRDefault="006550DD">
      <w:pPr>
        <w:pStyle w:val="TOC1"/>
        <w:rPr>
          <w:rFonts w:asciiTheme="minorHAnsi" w:eastAsiaTheme="minorEastAsia" w:hAnsiTheme="minorHAnsi" w:cstheme="minorBidi"/>
          <w:b w:val="0"/>
          <w:bCs w:val="0"/>
          <w:caps w:val="0"/>
          <w:noProof/>
          <w:sz w:val="22"/>
          <w:szCs w:val="22"/>
          <w:lang w:val="en-AU" w:eastAsia="en-AU"/>
        </w:rPr>
      </w:pPr>
      <w:hyperlink w:anchor="_Toc394076576" w:history="1">
        <w:r w:rsidR="001D1CDA" w:rsidRPr="00E43404">
          <w:rPr>
            <w:rStyle w:val="Hyperlink"/>
            <w:noProof/>
          </w:rPr>
          <w:t>1.</w:t>
        </w:r>
        <w:r w:rsidR="001D1CDA">
          <w:rPr>
            <w:rFonts w:asciiTheme="minorHAnsi" w:eastAsiaTheme="minorEastAsia" w:hAnsiTheme="minorHAnsi" w:cstheme="minorBidi"/>
            <w:b w:val="0"/>
            <w:bCs w:val="0"/>
            <w:caps w:val="0"/>
            <w:noProof/>
            <w:sz w:val="22"/>
            <w:szCs w:val="22"/>
            <w:lang w:val="en-AU" w:eastAsia="en-AU"/>
          </w:rPr>
          <w:tab/>
        </w:r>
        <w:r w:rsidR="001D1CDA" w:rsidRPr="00E43404">
          <w:rPr>
            <w:rStyle w:val="Hyperlink"/>
            <w:noProof/>
          </w:rPr>
          <w:t>Introduction</w:t>
        </w:r>
        <w:r w:rsidR="001D1CDA">
          <w:rPr>
            <w:noProof/>
            <w:webHidden/>
          </w:rPr>
          <w:tab/>
        </w:r>
        <w:r w:rsidR="001D1CDA">
          <w:rPr>
            <w:noProof/>
            <w:webHidden/>
          </w:rPr>
          <w:fldChar w:fldCharType="begin"/>
        </w:r>
        <w:r w:rsidR="001D1CDA">
          <w:rPr>
            <w:noProof/>
            <w:webHidden/>
          </w:rPr>
          <w:instrText xml:space="preserve"> PAGEREF _Toc394076576 \h </w:instrText>
        </w:r>
        <w:r w:rsidR="001D1CDA">
          <w:rPr>
            <w:noProof/>
            <w:webHidden/>
          </w:rPr>
        </w:r>
        <w:r w:rsidR="001D1CDA">
          <w:rPr>
            <w:noProof/>
            <w:webHidden/>
          </w:rPr>
          <w:fldChar w:fldCharType="separate"/>
        </w:r>
        <w:r w:rsidR="001D1CDA">
          <w:rPr>
            <w:noProof/>
            <w:webHidden/>
          </w:rPr>
          <w:t>4</w:t>
        </w:r>
        <w:r w:rsidR="001D1CDA">
          <w:rPr>
            <w:noProof/>
            <w:webHidden/>
          </w:rPr>
          <w:fldChar w:fldCharType="end"/>
        </w:r>
      </w:hyperlink>
    </w:p>
    <w:p w14:paraId="1A16DC1F" w14:textId="77777777" w:rsidR="001D1CDA" w:rsidRDefault="006550DD">
      <w:pPr>
        <w:pStyle w:val="TOC2"/>
        <w:tabs>
          <w:tab w:val="left" w:pos="880"/>
          <w:tab w:val="right" w:leader="dot" w:pos="9912"/>
        </w:tabs>
        <w:rPr>
          <w:rFonts w:asciiTheme="minorHAnsi" w:eastAsiaTheme="minorEastAsia" w:hAnsiTheme="minorHAnsi" w:cstheme="minorBidi"/>
          <w:noProof/>
          <w:sz w:val="22"/>
          <w:szCs w:val="22"/>
          <w:lang w:eastAsia="en-AU"/>
        </w:rPr>
      </w:pPr>
      <w:hyperlink w:anchor="_Toc394076577" w:history="1">
        <w:r w:rsidR="001D1CDA" w:rsidRPr="00E43404">
          <w:rPr>
            <w:rStyle w:val="Hyperlink"/>
            <w:noProof/>
          </w:rPr>
          <w:t>1.1</w:t>
        </w:r>
        <w:r w:rsidR="001D1CDA">
          <w:rPr>
            <w:rFonts w:asciiTheme="minorHAnsi" w:eastAsiaTheme="minorEastAsia" w:hAnsiTheme="minorHAnsi" w:cstheme="minorBidi"/>
            <w:noProof/>
            <w:sz w:val="22"/>
            <w:szCs w:val="22"/>
            <w:lang w:eastAsia="en-AU"/>
          </w:rPr>
          <w:tab/>
        </w:r>
        <w:r w:rsidR="001D1CDA" w:rsidRPr="00E43404">
          <w:rPr>
            <w:rStyle w:val="Hyperlink"/>
            <w:noProof/>
          </w:rPr>
          <w:t>Purpose of Document</w:t>
        </w:r>
        <w:r w:rsidR="001D1CDA">
          <w:rPr>
            <w:noProof/>
            <w:webHidden/>
          </w:rPr>
          <w:tab/>
        </w:r>
        <w:r w:rsidR="001D1CDA">
          <w:rPr>
            <w:noProof/>
            <w:webHidden/>
          </w:rPr>
          <w:fldChar w:fldCharType="begin"/>
        </w:r>
        <w:r w:rsidR="001D1CDA">
          <w:rPr>
            <w:noProof/>
            <w:webHidden/>
          </w:rPr>
          <w:instrText xml:space="preserve"> PAGEREF _Toc394076577 \h </w:instrText>
        </w:r>
        <w:r w:rsidR="001D1CDA">
          <w:rPr>
            <w:noProof/>
            <w:webHidden/>
          </w:rPr>
        </w:r>
        <w:r w:rsidR="001D1CDA">
          <w:rPr>
            <w:noProof/>
            <w:webHidden/>
          </w:rPr>
          <w:fldChar w:fldCharType="separate"/>
        </w:r>
        <w:r w:rsidR="001D1CDA">
          <w:rPr>
            <w:noProof/>
            <w:webHidden/>
          </w:rPr>
          <w:t>4</w:t>
        </w:r>
        <w:r w:rsidR="001D1CDA">
          <w:rPr>
            <w:noProof/>
            <w:webHidden/>
          </w:rPr>
          <w:fldChar w:fldCharType="end"/>
        </w:r>
      </w:hyperlink>
    </w:p>
    <w:p w14:paraId="7A074A34" w14:textId="77777777" w:rsidR="001D1CDA" w:rsidRDefault="006550DD">
      <w:pPr>
        <w:pStyle w:val="TOC2"/>
        <w:tabs>
          <w:tab w:val="left" w:pos="880"/>
          <w:tab w:val="right" w:leader="dot" w:pos="9912"/>
        </w:tabs>
        <w:rPr>
          <w:rFonts w:asciiTheme="minorHAnsi" w:eastAsiaTheme="minorEastAsia" w:hAnsiTheme="minorHAnsi" w:cstheme="minorBidi"/>
          <w:noProof/>
          <w:sz w:val="22"/>
          <w:szCs w:val="22"/>
          <w:lang w:eastAsia="en-AU"/>
        </w:rPr>
      </w:pPr>
      <w:hyperlink w:anchor="_Toc394076578" w:history="1">
        <w:r w:rsidR="001D1CDA" w:rsidRPr="00E43404">
          <w:rPr>
            <w:rStyle w:val="Hyperlink"/>
            <w:noProof/>
          </w:rPr>
          <w:t>1.2</w:t>
        </w:r>
        <w:r w:rsidR="001D1CDA">
          <w:rPr>
            <w:rFonts w:asciiTheme="minorHAnsi" w:eastAsiaTheme="minorEastAsia" w:hAnsiTheme="minorHAnsi" w:cstheme="minorBidi"/>
            <w:noProof/>
            <w:sz w:val="22"/>
            <w:szCs w:val="22"/>
            <w:lang w:eastAsia="en-AU"/>
          </w:rPr>
          <w:tab/>
        </w:r>
        <w:r w:rsidR="001D1CDA" w:rsidRPr="00E43404">
          <w:rPr>
            <w:rStyle w:val="Hyperlink"/>
            <w:noProof/>
          </w:rPr>
          <w:t>Background</w:t>
        </w:r>
        <w:r w:rsidR="001D1CDA">
          <w:rPr>
            <w:noProof/>
            <w:webHidden/>
          </w:rPr>
          <w:tab/>
        </w:r>
        <w:r w:rsidR="001D1CDA">
          <w:rPr>
            <w:noProof/>
            <w:webHidden/>
          </w:rPr>
          <w:fldChar w:fldCharType="begin"/>
        </w:r>
        <w:r w:rsidR="001D1CDA">
          <w:rPr>
            <w:noProof/>
            <w:webHidden/>
          </w:rPr>
          <w:instrText xml:space="preserve"> PAGEREF _Toc394076578 \h </w:instrText>
        </w:r>
        <w:r w:rsidR="001D1CDA">
          <w:rPr>
            <w:noProof/>
            <w:webHidden/>
          </w:rPr>
        </w:r>
        <w:r w:rsidR="001D1CDA">
          <w:rPr>
            <w:noProof/>
            <w:webHidden/>
          </w:rPr>
          <w:fldChar w:fldCharType="separate"/>
        </w:r>
        <w:r w:rsidR="001D1CDA">
          <w:rPr>
            <w:noProof/>
            <w:webHidden/>
          </w:rPr>
          <w:t>4</w:t>
        </w:r>
        <w:r w:rsidR="001D1CDA">
          <w:rPr>
            <w:noProof/>
            <w:webHidden/>
          </w:rPr>
          <w:fldChar w:fldCharType="end"/>
        </w:r>
      </w:hyperlink>
    </w:p>
    <w:p w14:paraId="04B6AEE5" w14:textId="77777777" w:rsidR="001D1CDA" w:rsidRDefault="006550DD">
      <w:pPr>
        <w:pStyle w:val="TOC2"/>
        <w:tabs>
          <w:tab w:val="left" w:pos="880"/>
          <w:tab w:val="right" w:leader="dot" w:pos="9912"/>
        </w:tabs>
        <w:rPr>
          <w:rFonts w:asciiTheme="minorHAnsi" w:eastAsiaTheme="minorEastAsia" w:hAnsiTheme="minorHAnsi" w:cstheme="minorBidi"/>
          <w:noProof/>
          <w:sz w:val="22"/>
          <w:szCs w:val="22"/>
          <w:lang w:eastAsia="en-AU"/>
        </w:rPr>
      </w:pPr>
      <w:hyperlink w:anchor="_Toc394076579" w:history="1">
        <w:r w:rsidR="001D1CDA" w:rsidRPr="00E43404">
          <w:rPr>
            <w:rStyle w:val="Hyperlink"/>
            <w:noProof/>
          </w:rPr>
          <w:t>1.3</w:t>
        </w:r>
        <w:r w:rsidR="001D1CDA">
          <w:rPr>
            <w:rFonts w:asciiTheme="minorHAnsi" w:eastAsiaTheme="minorEastAsia" w:hAnsiTheme="minorHAnsi" w:cstheme="minorBidi"/>
            <w:noProof/>
            <w:sz w:val="22"/>
            <w:szCs w:val="22"/>
            <w:lang w:eastAsia="en-AU"/>
          </w:rPr>
          <w:tab/>
        </w:r>
        <w:r w:rsidR="001D1CDA" w:rsidRPr="00E43404">
          <w:rPr>
            <w:rStyle w:val="Hyperlink"/>
            <w:noProof/>
          </w:rPr>
          <w:t>General Assumptions</w:t>
        </w:r>
        <w:r w:rsidR="001D1CDA">
          <w:rPr>
            <w:noProof/>
            <w:webHidden/>
          </w:rPr>
          <w:tab/>
        </w:r>
        <w:r w:rsidR="001D1CDA">
          <w:rPr>
            <w:noProof/>
            <w:webHidden/>
          </w:rPr>
          <w:fldChar w:fldCharType="begin"/>
        </w:r>
        <w:r w:rsidR="001D1CDA">
          <w:rPr>
            <w:noProof/>
            <w:webHidden/>
          </w:rPr>
          <w:instrText xml:space="preserve"> PAGEREF _Toc394076579 \h </w:instrText>
        </w:r>
        <w:r w:rsidR="001D1CDA">
          <w:rPr>
            <w:noProof/>
            <w:webHidden/>
          </w:rPr>
        </w:r>
        <w:r w:rsidR="001D1CDA">
          <w:rPr>
            <w:noProof/>
            <w:webHidden/>
          </w:rPr>
          <w:fldChar w:fldCharType="separate"/>
        </w:r>
        <w:r w:rsidR="001D1CDA">
          <w:rPr>
            <w:noProof/>
            <w:webHidden/>
          </w:rPr>
          <w:t>4</w:t>
        </w:r>
        <w:r w:rsidR="001D1CDA">
          <w:rPr>
            <w:noProof/>
            <w:webHidden/>
          </w:rPr>
          <w:fldChar w:fldCharType="end"/>
        </w:r>
      </w:hyperlink>
    </w:p>
    <w:p w14:paraId="6F60405C" w14:textId="77777777" w:rsidR="001D1CDA" w:rsidRDefault="006550DD">
      <w:pPr>
        <w:pStyle w:val="TOC2"/>
        <w:tabs>
          <w:tab w:val="left" w:pos="880"/>
          <w:tab w:val="right" w:leader="dot" w:pos="9912"/>
        </w:tabs>
        <w:rPr>
          <w:rFonts w:asciiTheme="minorHAnsi" w:eastAsiaTheme="minorEastAsia" w:hAnsiTheme="minorHAnsi" w:cstheme="minorBidi"/>
          <w:noProof/>
          <w:sz w:val="22"/>
          <w:szCs w:val="22"/>
          <w:lang w:eastAsia="en-AU"/>
        </w:rPr>
      </w:pPr>
      <w:hyperlink w:anchor="_Toc394076580" w:history="1">
        <w:r w:rsidR="001D1CDA" w:rsidRPr="00E43404">
          <w:rPr>
            <w:rStyle w:val="Hyperlink"/>
            <w:noProof/>
          </w:rPr>
          <w:t>1.4</w:t>
        </w:r>
        <w:r w:rsidR="001D1CDA">
          <w:rPr>
            <w:rFonts w:asciiTheme="minorHAnsi" w:eastAsiaTheme="minorEastAsia" w:hAnsiTheme="minorHAnsi" w:cstheme="minorBidi"/>
            <w:noProof/>
            <w:sz w:val="22"/>
            <w:szCs w:val="22"/>
            <w:lang w:eastAsia="en-AU"/>
          </w:rPr>
          <w:tab/>
        </w:r>
        <w:r w:rsidR="001D1CDA" w:rsidRPr="00E43404">
          <w:rPr>
            <w:rStyle w:val="Hyperlink"/>
            <w:noProof/>
          </w:rPr>
          <w:t>PAE Methodology</w:t>
        </w:r>
        <w:r w:rsidR="001D1CDA">
          <w:rPr>
            <w:noProof/>
            <w:webHidden/>
          </w:rPr>
          <w:tab/>
        </w:r>
        <w:r w:rsidR="001D1CDA">
          <w:rPr>
            <w:noProof/>
            <w:webHidden/>
          </w:rPr>
          <w:fldChar w:fldCharType="begin"/>
        </w:r>
        <w:r w:rsidR="001D1CDA">
          <w:rPr>
            <w:noProof/>
            <w:webHidden/>
          </w:rPr>
          <w:instrText xml:space="preserve"> PAGEREF _Toc394076580 \h </w:instrText>
        </w:r>
        <w:r w:rsidR="001D1CDA">
          <w:rPr>
            <w:noProof/>
            <w:webHidden/>
          </w:rPr>
        </w:r>
        <w:r w:rsidR="001D1CDA">
          <w:rPr>
            <w:noProof/>
            <w:webHidden/>
          </w:rPr>
          <w:fldChar w:fldCharType="separate"/>
        </w:r>
        <w:r w:rsidR="001D1CDA">
          <w:rPr>
            <w:noProof/>
            <w:webHidden/>
          </w:rPr>
          <w:t>5</w:t>
        </w:r>
        <w:r w:rsidR="001D1CDA">
          <w:rPr>
            <w:noProof/>
            <w:webHidden/>
          </w:rPr>
          <w:fldChar w:fldCharType="end"/>
        </w:r>
      </w:hyperlink>
    </w:p>
    <w:p w14:paraId="5A91F9F6" w14:textId="77777777" w:rsidR="001D1CDA" w:rsidRDefault="006550DD">
      <w:pPr>
        <w:pStyle w:val="TOC3"/>
        <w:tabs>
          <w:tab w:val="left" w:pos="1440"/>
          <w:tab w:val="right" w:leader="dot" w:pos="9912"/>
        </w:tabs>
        <w:rPr>
          <w:rFonts w:asciiTheme="minorHAnsi" w:eastAsiaTheme="minorEastAsia" w:hAnsiTheme="minorHAnsi" w:cstheme="minorBidi"/>
          <w:noProof/>
          <w:sz w:val="22"/>
          <w:szCs w:val="22"/>
          <w:lang w:eastAsia="en-AU"/>
        </w:rPr>
      </w:pPr>
      <w:hyperlink w:anchor="_Toc394076581" w:history="1">
        <w:r w:rsidR="001D1CDA" w:rsidRPr="00E43404">
          <w:rPr>
            <w:rStyle w:val="Hyperlink"/>
            <w:noProof/>
          </w:rPr>
          <w:t>1.4.1</w:t>
        </w:r>
        <w:r w:rsidR="001D1CDA">
          <w:rPr>
            <w:rFonts w:asciiTheme="minorHAnsi" w:eastAsiaTheme="minorEastAsia" w:hAnsiTheme="minorHAnsi" w:cstheme="minorBidi"/>
            <w:noProof/>
            <w:sz w:val="22"/>
            <w:szCs w:val="22"/>
            <w:lang w:eastAsia="en-AU"/>
          </w:rPr>
          <w:tab/>
        </w:r>
        <w:r w:rsidR="001D1CDA" w:rsidRPr="00E43404">
          <w:rPr>
            <w:rStyle w:val="Hyperlink"/>
            <w:noProof/>
          </w:rPr>
          <w:t>Arckaringa</w:t>
        </w:r>
        <w:r w:rsidR="001D1CDA">
          <w:rPr>
            <w:noProof/>
            <w:webHidden/>
          </w:rPr>
          <w:tab/>
        </w:r>
        <w:r w:rsidR="001D1CDA">
          <w:rPr>
            <w:noProof/>
            <w:webHidden/>
          </w:rPr>
          <w:fldChar w:fldCharType="begin"/>
        </w:r>
        <w:r w:rsidR="001D1CDA">
          <w:rPr>
            <w:noProof/>
            <w:webHidden/>
          </w:rPr>
          <w:instrText xml:space="preserve"> PAGEREF _Toc394076581 \h </w:instrText>
        </w:r>
        <w:r w:rsidR="001D1CDA">
          <w:rPr>
            <w:noProof/>
            <w:webHidden/>
          </w:rPr>
        </w:r>
        <w:r w:rsidR="001D1CDA">
          <w:rPr>
            <w:noProof/>
            <w:webHidden/>
          </w:rPr>
          <w:fldChar w:fldCharType="separate"/>
        </w:r>
        <w:r w:rsidR="001D1CDA">
          <w:rPr>
            <w:noProof/>
            <w:webHidden/>
          </w:rPr>
          <w:t>5</w:t>
        </w:r>
        <w:r w:rsidR="001D1CDA">
          <w:rPr>
            <w:noProof/>
            <w:webHidden/>
          </w:rPr>
          <w:fldChar w:fldCharType="end"/>
        </w:r>
      </w:hyperlink>
    </w:p>
    <w:p w14:paraId="2D2F4BFA" w14:textId="77777777" w:rsidR="001D1CDA" w:rsidRDefault="006550DD">
      <w:pPr>
        <w:pStyle w:val="TOC3"/>
        <w:tabs>
          <w:tab w:val="left" w:pos="1440"/>
          <w:tab w:val="right" w:leader="dot" w:pos="9912"/>
        </w:tabs>
        <w:rPr>
          <w:rFonts w:asciiTheme="minorHAnsi" w:eastAsiaTheme="minorEastAsia" w:hAnsiTheme="minorHAnsi" w:cstheme="minorBidi"/>
          <w:noProof/>
          <w:sz w:val="22"/>
          <w:szCs w:val="22"/>
          <w:lang w:eastAsia="en-AU"/>
        </w:rPr>
      </w:pPr>
      <w:hyperlink w:anchor="_Toc394076582" w:history="1">
        <w:r w:rsidR="001D1CDA" w:rsidRPr="00E43404">
          <w:rPr>
            <w:rStyle w:val="Hyperlink"/>
            <w:noProof/>
          </w:rPr>
          <w:t>1.4.2</w:t>
        </w:r>
        <w:r w:rsidR="001D1CDA">
          <w:rPr>
            <w:rFonts w:asciiTheme="minorHAnsi" w:eastAsiaTheme="minorEastAsia" w:hAnsiTheme="minorHAnsi" w:cstheme="minorBidi"/>
            <w:noProof/>
            <w:sz w:val="22"/>
            <w:szCs w:val="22"/>
            <w:lang w:eastAsia="en-AU"/>
          </w:rPr>
          <w:tab/>
        </w:r>
        <w:r w:rsidR="001D1CDA" w:rsidRPr="00E43404">
          <w:rPr>
            <w:rStyle w:val="Hyperlink"/>
            <w:noProof/>
          </w:rPr>
          <w:t>Pedirka</w:t>
        </w:r>
        <w:r w:rsidR="001D1CDA">
          <w:rPr>
            <w:noProof/>
            <w:webHidden/>
          </w:rPr>
          <w:tab/>
        </w:r>
        <w:r w:rsidR="001D1CDA">
          <w:rPr>
            <w:noProof/>
            <w:webHidden/>
          </w:rPr>
          <w:fldChar w:fldCharType="begin"/>
        </w:r>
        <w:r w:rsidR="001D1CDA">
          <w:rPr>
            <w:noProof/>
            <w:webHidden/>
          </w:rPr>
          <w:instrText xml:space="preserve"> PAGEREF _Toc394076582 \h </w:instrText>
        </w:r>
        <w:r w:rsidR="001D1CDA">
          <w:rPr>
            <w:noProof/>
            <w:webHidden/>
          </w:rPr>
        </w:r>
        <w:r w:rsidR="001D1CDA">
          <w:rPr>
            <w:noProof/>
            <w:webHidden/>
          </w:rPr>
          <w:fldChar w:fldCharType="separate"/>
        </w:r>
        <w:r w:rsidR="001D1CDA">
          <w:rPr>
            <w:noProof/>
            <w:webHidden/>
          </w:rPr>
          <w:t>6</w:t>
        </w:r>
        <w:r w:rsidR="001D1CDA">
          <w:rPr>
            <w:noProof/>
            <w:webHidden/>
          </w:rPr>
          <w:fldChar w:fldCharType="end"/>
        </w:r>
      </w:hyperlink>
    </w:p>
    <w:p w14:paraId="0A828818" w14:textId="77777777" w:rsidR="001D1CDA" w:rsidRDefault="006550DD">
      <w:pPr>
        <w:pStyle w:val="TOC3"/>
        <w:tabs>
          <w:tab w:val="left" w:pos="1440"/>
          <w:tab w:val="right" w:leader="dot" w:pos="9912"/>
        </w:tabs>
        <w:rPr>
          <w:rFonts w:asciiTheme="minorHAnsi" w:eastAsiaTheme="minorEastAsia" w:hAnsiTheme="minorHAnsi" w:cstheme="minorBidi"/>
          <w:noProof/>
          <w:sz w:val="22"/>
          <w:szCs w:val="22"/>
          <w:lang w:eastAsia="en-AU"/>
        </w:rPr>
      </w:pPr>
      <w:hyperlink w:anchor="_Toc394076583" w:history="1">
        <w:r w:rsidR="001D1CDA" w:rsidRPr="00E43404">
          <w:rPr>
            <w:rStyle w:val="Hyperlink"/>
            <w:noProof/>
          </w:rPr>
          <w:t>1.4.3</w:t>
        </w:r>
        <w:r w:rsidR="001D1CDA">
          <w:rPr>
            <w:rFonts w:asciiTheme="minorHAnsi" w:eastAsiaTheme="minorEastAsia" w:hAnsiTheme="minorHAnsi" w:cstheme="minorBidi"/>
            <w:noProof/>
            <w:sz w:val="22"/>
            <w:szCs w:val="22"/>
            <w:lang w:eastAsia="en-AU"/>
          </w:rPr>
          <w:tab/>
        </w:r>
        <w:r w:rsidR="001D1CDA" w:rsidRPr="00E43404">
          <w:rPr>
            <w:rStyle w:val="Hyperlink"/>
            <w:noProof/>
          </w:rPr>
          <w:t>PAE Database Location</w:t>
        </w:r>
        <w:r w:rsidR="001D1CDA">
          <w:rPr>
            <w:noProof/>
            <w:webHidden/>
          </w:rPr>
          <w:tab/>
        </w:r>
        <w:r w:rsidR="001D1CDA">
          <w:rPr>
            <w:noProof/>
            <w:webHidden/>
          </w:rPr>
          <w:fldChar w:fldCharType="begin"/>
        </w:r>
        <w:r w:rsidR="001D1CDA">
          <w:rPr>
            <w:noProof/>
            <w:webHidden/>
          </w:rPr>
          <w:instrText xml:space="preserve"> PAGEREF _Toc394076583 \h </w:instrText>
        </w:r>
        <w:r w:rsidR="001D1CDA">
          <w:rPr>
            <w:noProof/>
            <w:webHidden/>
          </w:rPr>
        </w:r>
        <w:r w:rsidR="001D1CDA">
          <w:rPr>
            <w:noProof/>
            <w:webHidden/>
          </w:rPr>
          <w:fldChar w:fldCharType="separate"/>
        </w:r>
        <w:r w:rsidR="001D1CDA">
          <w:rPr>
            <w:noProof/>
            <w:webHidden/>
          </w:rPr>
          <w:t>8</w:t>
        </w:r>
        <w:r w:rsidR="001D1CDA">
          <w:rPr>
            <w:noProof/>
            <w:webHidden/>
          </w:rPr>
          <w:fldChar w:fldCharType="end"/>
        </w:r>
      </w:hyperlink>
    </w:p>
    <w:p w14:paraId="4CABC521" w14:textId="77777777" w:rsidR="001D1CDA" w:rsidRDefault="006550DD">
      <w:pPr>
        <w:pStyle w:val="TOC1"/>
        <w:rPr>
          <w:rFonts w:asciiTheme="minorHAnsi" w:eastAsiaTheme="minorEastAsia" w:hAnsiTheme="minorHAnsi" w:cstheme="minorBidi"/>
          <w:b w:val="0"/>
          <w:bCs w:val="0"/>
          <w:caps w:val="0"/>
          <w:noProof/>
          <w:sz w:val="22"/>
          <w:szCs w:val="22"/>
          <w:lang w:val="en-AU" w:eastAsia="en-AU"/>
        </w:rPr>
      </w:pPr>
      <w:hyperlink w:anchor="_Toc394076584" w:history="1">
        <w:r w:rsidR="001D1CDA" w:rsidRPr="00E43404">
          <w:rPr>
            <w:rStyle w:val="Hyperlink"/>
            <w:noProof/>
          </w:rPr>
          <w:t>2.</w:t>
        </w:r>
        <w:r w:rsidR="001D1CDA">
          <w:rPr>
            <w:rFonts w:asciiTheme="minorHAnsi" w:eastAsiaTheme="minorEastAsia" w:hAnsiTheme="minorHAnsi" w:cstheme="minorBidi"/>
            <w:b w:val="0"/>
            <w:bCs w:val="0"/>
            <w:caps w:val="0"/>
            <w:noProof/>
            <w:sz w:val="22"/>
            <w:szCs w:val="22"/>
            <w:lang w:val="en-AU" w:eastAsia="en-AU"/>
          </w:rPr>
          <w:tab/>
        </w:r>
        <w:r w:rsidR="001D1CDA" w:rsidRPr="00E43404">
          <w:rPr>
            <w:rStyle w:val="Hyperlink"/>
            <w:noProof/>
          </w:rPr>
          <w:t>Figures</w:t>
        </w:r>
        <w:r w:rsidR="001D1CDA">
          <w:rPr>
            <w:noProof/>
            <w:webHidden/>
          </w:rPr>
          <w:tab/>
        </w:r>
        <w:r w:rsidR="001D1CDA">
          <w:rPr>
            <w:noProof/>
            <w:webHidden/>
          </w:rPr>
          <w:fldChar w:fldCharType="begin"/>
        </w:r>
        <w:r w:rsidR="001D1CDA">
          <w:rPr>
            <w:noProof/>
            <w:webHidden/>
          </w:rPr>
          <w:instrText xml:space="preserve"> PAGEREF _Toc394076584 \h </w:instrText>
        </w:r>
        <w:r w:rsidR="001D1CDA">
          <w:rPr>
            <w:noProof/>
            <w:webHidden/>
          </w:rPr>
        </w:r>
        <w:r w:rsidR="001D1CDA">
          <w:rPr>
            <w:noProof/>
            <w:webHidden/>
          </w:rPr>
          <w:fldChar w:fldCharType="separate"/>
        </w:r>
        <w:r w:rsidR="001D1CDA">
          <w:rPr>
            <w:noProof/>
            <w:webHidden/>
          </w:rPr>
          <w:t>9</w:t>
        </w:r>
        <w:r w:rsidR="001D1CDA">
          <w:rPr>
            <w:noProof/>
            <w:webHidden/>
          </w:rPr>
          <w:fldChar w:fldCharType="end"/>
        </w:r>
      </w:hyperlink>
    </w:p>
    <w:p w14:paraId="74B6569B" w14:textId="77777777" w:rsidR="001D1CDA" w:rsidRDefault="006550DD">
      <w:pPr>
        <w:pStyle w:val="TOC1"/>
        <w:rPr>
          <w:rFonts w:asciiTheme="minorHAnsi" w:eastAsiaTheme="minorEastAsia" w:hAnsiTheme="minorHAnsi" w:cstheme="minorBidi"/>
          <w:b w:val="0"/>
          <w:bCs w:val="0"/>
          <w:caps w:val="0"/>
          <w:noProof/>
          <w:sz w:val="22"/>
          <w:szCs w:val="22"/>
          <w:lang w:val="en-AU" w:eastAsia="en-AU"/>
        </w:rPr>
      </w:pPr>
      <w:hyperlink w:anchor="_Toc394076585" w:history="1">
        <w:r w:rsidR="001D1CDA" w:rsidRPr="00E43404">
          <w:rPr>
            <w:rStyle w:val="Hyperlink"/>
            <w:noProof/>
          </w:rPr>
          <w:t>Appendix 1. Summary Methodology of DEWNR Preliminary Stage 1 Groundwater Modelling for the Pedirka Basin.</w:t>
        </w:r>
        <w:r w:rsidR="001D1CDA">
          <w:rPr>
            <w:noProof/>
            <w:webHidden/>
          </w:rPr>
          <w:tab/>
        </w:r>
        <w:r w:rsidR="001D1CDA">
          <w:rPr>
            <w:noProof/>
            <w:webHidden/>
          </w:rPr>
          <w:fldChar w:fldCharType="begin"/>
        </w:r>
        <w:r w:rsidR="001D1CDA">
          <w:rPr>
            <w:noProof/>
            <w:webHidden/>
          </w:rPr>
          <w:instrText xml:space="preserve"> PAGEREF _Toc394076585 \h </w:instrText>
        </w:r>
        <w:r w:rsidR="001D1CDA">
          <w:rPr>
            <w:noProof/>
            <w:webHidden/>
          </w:rPr>
        </w:r>
        <w:r w:rsidR="001D1CDA">
          <w:rPr>
            <w:noProof/>
            <w:webHidden/>
          </w:rPr>
          <w:fldChar w:fldCharType="separate"/>
        </w:r>
        <w:r w:rsidR="001D1CDA">
          <w:rPr>
            <w:noProof/>
            <w:webHidden/>
          </w:rPr>
          <w:t>13</w:t>
        </w:r>
        <w:r w:rsidR="001D1CDA">
          <w:rPr>
            <w:noProof/>
            <w:webHidden/>
          </w:rPr>
          <w:fldChar w:fldCharType="end"/>
        </w:r>
      </w:hyperlink>
    </w:p>
    <w:p w14:paraId="39E2A535" w14:textId="77777777" w:rsidR="00C572F0" w:rsidRPr="002D157F" w:rsidRDefault="005C38F0" w:rsidP="00753219">
      <w:pPr>
        <w:pStyle w:val="BodyText"/>
        <w:sectPr w:rsidR="00C572F0" w:rsidRPr="002D157F" w:rsidSect="00B645D8">
          <w:headerReference w:type="even" r:id="rId11"/>
          <w:headerReference w:type="default" r:id="rId12"/>
          <w:footerReference w:type="even" r:id="rId13"/>
          <w:footerReference w:type="default" r:id="rId14"/>
          <w:headerReference w:type="first" r:id="rId15"/>
          <w:footerReference w:type="first" r:id="rId16"/>
          <w:pgSz w:w="11907" w:h="16840" w:code="9"/>
          <w:pgMar w:top="1134" w:right="851" w:bottom="567" w:left="1134" w:header="360" w:footer="51" w:gutter="0"/>
          <w:pgNumType w:fmt="lowerRoman" w:start="1"/>
          <w:cols w:space="720"/>
          <w:titlePg/>
          <w:docGrid w:linePitch="326"/>
        </w:sectPr>
      </w:pPr>
      <w:r>
        <w:rPr>
          <w:b/>
          <w:i/>
          <w:iCs/>
          <w:caps/>
          <w:sz w:val="24"/>
        </w:rPr>
        <w:fldChar w:fldCharType="end"/>
      </w:r>
    </w:p>
    <w:p w14:paraId="46E8A7F0" w14:textId="77777777" w:rsidR="00753219" w:rsidRPr="00A24BD4" w:rsidRDefault="00753219" w:rsidP="00753219">
      <w:pPr>
        <w:pStyle w:val="Heading1"/>
      </w:pPr>
      <w:bookmarkStart w:id="2" w:name="_Toc208988001"/>
      <w:bookmarkStart w:id="3" w:name="_Toc271721256"/>
      <w:bookmarkStart w:id="4" w:name="_Toc394076576"/>
      <w:r w:rsidRPr="00A24BD4">
        <w:lastRenderedPageBreak/>
        <w:t>Introduction</w:t>
      </w:r>
      <w:bookmarkEnd w:id="2"/>
      <w:bookmarkEnd w:id="3"/>
      <w:bookmarkEnd w:id="4"/>
    </w:p>
    <w:p w14:paraId="667F792D" w14:textId="77777777" w:rsidR="00753219" w:rsidRDefault="00753219" w:rsidP="00753219">
      <w:pPr>
        <w:pStyle w:val="Heading2"/>
      </w:pPr>
      <w:bookmarkStart w:id="5" w:name="_Toc394076577"/>
      <w:r w:rsidRPr="00A24BD4">
        <w:t>Purpose of Document</w:t>
      </w:r>
      <w:bookmarkEnd w:id="5"/>
    </w:p>
    <w:p w14:paraId="4358AF21" w14:textId="68BF473C" w:rsidR="005C38F0" w:rsidRPr="005C38F0" w:rsidRDefault="00A36803" w:rsidP="005C38F0">
      <w:pPr>
        <w:pStyle w:val="BodyText"/>
        <w:ind w:left="0"/>
      </w:pPr>
      <w:r>
        <w:t xml:space="preserve">This document presents the approach taken to develop a Preliminary Assessment Extent (PAE) for the </w:t>
      </w:r>
      <w:proofErr w:type="spellStart"/>
      <w:r>
        <w:t>Arckaringa</w:t>
      </w:r>
      <w:proofErr w:type="spellEnd"/>
      <w:r>
        <w:t xml:space="preserve"> and </w:t>
      </w:r>
      <w:proofErr w:type="spellStart"/>
      <w:r>
        <w:t>Pedirka</w:t>
      </w:r>
      <w:proofErr w:type="spellEnd"/>
      <w:r w:rsidR="00CA1F6B">
        <w:t xml:space="preserve"> Basin</w:t>
      </w:r>
      <w:r w:rsidR="0099001E">
        <w:t>s</w:t>
      </w:r>
      <w:r w:rsidR="00CA1F6B">
        <w:t>. This document</w:t>
      </w:r>
      <w:r w:rsidR="006550DD">
        <w:t>,</w:t>
      </w:r>
      <w:r w:rsidR="00CA1F6B">
        <w:t xml:space="preserve"> </w:t>
      </w:r>
      <w:r w:rsidR="0099001E">
        <w:t>together with</w:t>
      </w:r>
      <w:r w:rsidR="00CA1F6B">
        <w:t xml:space="preserve"> associated mapping and geospatial </w:t>
      </w:r>
      <w:r w:rsidR="00E2794E">
        <w:t>data</w:t>
      </w:r>
      <w:r w:rsidR="006550DD">
        <w:t>,</w:t>
      </w:r>
      <w:r w:rsidR="00CA1F6B">
        <w:t xml:space="preserve"> represent draft information presented to </w:t>
      </w:r>
      <w:r w:rsidR="001D1CDA">
        <w:t>the Bioregional Assessment Team, through the Department of the Environment’s Office of Water Science (OWS),</w:t>
      </w:r>
      <w:r w:rsidR="00CA1F6B">
        <w:t xml:space="preserve"> which will be amended as required to support the Bioregional Assessment</w:t>
      </w:r>
      <w:r w:rsidR="006550DD">
        <w:t xml:space="preserve"> Programme</w:t>
      </w:r>
      <w:r w:rsidR="00CA1F6B">
        <w:t xml:space="preserve">. </w:t>
      </w:r>
      <w:r w:rsidR="001D1CDA">
        <w:t xml:space="preserve">It is understood that the </w:t>
      </w:r>
      <w:proofErr w:type="spellStart"/>
      <w:r w:rsidR="00CA1F6B">
        <w:t>Arckaringa</w:t>
      </w:r>
      <w:proofErr w:type="spellEnd"/>
      <w:r w:rsidR="00CA1F6B">
        <w:t xml:space="preserve"> and </w:t>
      </w:r>
      <w:proofErr w:type="spellStart"/>
      <w:r w:rsidR="00CA1F6B">
        <w:t>Pedirka</w:t>
      </w:r>
      <w:proofErr w:type="spellEnd"/>
      <w:r w:rsidR="00CA1F6B">
        <w:t xml:space="preserve"> PAEs will be</w:t>
      </w:r>
      <w:r w:rsidR="00232279">
        <w:t xml:space="preserve"> subject to </w:t>
      </w:r>
      <w:r w:rsidR="001D1CDA">
        <w:t xml:space="preserve">revisions as new ecological, hydrological and hydrogeological information and understandings become available. </w:t>
      </w:r>
      <w:bookmarkStart w:id="6" w:name="_GoBack"/>
      <w:bookmarkEnd w:id="6"/>
    </w:p>
    <w:p w14:paraId="3C436186" w14:textId="77777777" w:rsidR="00A04862" w:rsidRDefault="00A04862" w:rsidP="00A04862">
      <w:pPr>
        <w:pStyle w:val="Heading2"/>
      </w:pPr>
      <w:bookmarkStart w:id="7" w:name="_Toc394076578"/>
      <w:r>
        <w:t>Background</w:t>
      </w:r>
      <w:bookmarkEnd w:id="7"/>
    </w:p>
    <w:p w14:paraId="00013809" w14:textId="5BEBE983" w:rsidR="00A04862" w:rsidRPr="00F66774" w:rsidRDefault="00750389" w:rsidP="00A04862">
      <w:pPr>
        <w:rPr>
          <w:rFonts w:cs="Segoe UI"/>
          <w:sz w:val="20"/>
          <w:szCs w:val="20"/>
        </w:rPr>
      </w:pPr>
      <w:r w:rsidRPr="00F66774">
        <w:rPr>
          <w:rFonts w:cs="Segoe UI"/>
          <w:sz w:val="20"/>
          <w:szCs w:val="20"/>
        </w:rPr>
        <w:t>A w</w:t>
      </w:r>
      <w:r w:rsidR="00A04862" w:rsidRPr="00F66774">
        <w:rPr>
          <w:rFonts w:cs="Segoe UI"/>
          <w:sz w:val="20"/>
          <w:szCs w:val="20"/>
        </w:rPr>
        <w:t xml:space="preserve">orkshop </w:t>
      </w:r>
      <w:r w:rsidRPr="00F66774">
        <w:rPr>
          <w:rFonts w:cs="Segoe UI"/>
          <w:sz w:val="20"/>
          <w:szCs w:val="20"/>
        </w:rPr>
        <w:t xml:space="preserve">was </w:t>
      </w:r>
      <w:r w:rsidR="00A04862" w:rsidRPr="00F66774">
        <w:rPr>
          <w:rFonts w:cs="Segoe UI"/>
          <w:sz w:val="20"/>
          <w:szCs w:val="20"/>
        </w:rPr>
        <w:t>held on 6 December 2013 attended by ecological, hydrological and hydrogeological experts from SA</w:t>
      </w:r>
      <w:r w:rsidRPr="00F66774">
        <w:rPr>
          <w:rFonts w:cs="Segoe UI"/>
          <w:sz w:val="20"/>
          <w:szCs w:val="20"/>
        </w:rPr>
        <w:t xml:space="preserve"> Department of Environment, Water and Natural Resources (DEWNR)</w:t>
      </w:r>
      <w:r w:rsidR="00A04862" w:rsidRPr="00F66774">
        <w:rPr>
          <w:rFonts w:cs="Segoe UI"/>
          <w:sz w:val="20"/>
          <w:szCs w:val="20"/>
        </w:rPr>
        <w:t>, with support from G</w:t>
      </w:r>
      <w:r w:rsidR="00232279" w:rsidRPr="00F66774">
        <w:rPr>
          <w:rFonts w:cs="Segoe UI"/>
          <w:sz w:val="20"/>
          <w:szCs w:val="20"/>
        </w:rPr>
        <w:t xml:space="preserve">eoscience </w:t>
      </w:r>
      <w:r w:rsidR="00A04862" w:rsidRPr="00F66774">
        <w:rPr>
          <w:rFonts w:cs="Segoe UI"/>
          <w:sz w:val="20"/>
          <w:szCs w:val="20"/>
        </w:rPr>
        <w:t>A</w:t>
      </w:r>
      <w:r w:rsidR="00232279" w:rsidRPr="00F66774">
        <w:rPr>
          <w:rFonts w:cs="Segoe UI"/>
          <w:sz w:val="20"/>
          <w:szCs w:val="20"/>
        </w:rPr>
        <w:t>ustralia (GA).</w:t>
      </w:r>
      <w:r w:rsidR="001A51AF">
        <w:rPr>
          <w:rFonts w:cs="Segoe UI"/>
          <w:sz w:val="20"/>
          <w:szCs w:val="20"/>
        </w:rPr>
        <w:t xml:space="preserve"> The Northern Territory Department of Land Resource Management were consulted during the workshop relating to the Pedirka Basin.</w:t>
      </w:r>
      <w:r w:rsidR="00CA1F6B" w:rsidRPr="00F66774">
        <w:rPr>
          <w:rFonts w:cs="Segoe UI"/>
          <w:sz w:val="20"/>
          <w:szCs w:val="20"/>
        </w:rPr>
        <w:t xml:space="preserve"> This </w:t>
      </w:r>
      <w:r w:rsidR="0099001E">
        <w:rPr>
          <w:rFonts w:cs="Segoe UI"/>
          <w:sz w:val="20"/>
          <w:szCs w:val="20"/>
        </w:rPr>
        <w:t>comprised</w:t>
      </w:r>
      <w:r w:rsidR="00CA1F6B" w:rsidRPr="00F66774">
        <w:rPr>
          <w:rFonts w:cs="Segoe UI"/>
          <w:sz w:val="20"/>
          <w:szCs w:val="20"/>
        </w:rPr>
        <w:t xml:space="preserve"> the following individuals:</w:t>
      </w:r>
    </w:p>
    <w:p w14:paraId="4C348067" w14:textId="77777777" w:rsidR="00387BDF" w:rsidRPr="001A51AF" w:rsidRDefault="00387BDF" w:rsidP="00387BDF">
      <w:pPr>
        <w:pStyle w:val="ListParagraph"/>
        <w:numPr>
          <w:ilvl w:val="0"/>
          <w:numId w:val="11"/>
        </w:numPr>
        <w:rPr>
          <w:rFonts w:ascii="Segoe UI" w:hAnsi="Segoe UI" w:cs="Segoe UI"/>
          <w:sz w:val="20"/>
          <w:szCs w:val="20"/>
        </w:rPr>
      </w:pPr>
      <w:r w:rsidRPr="00F66774">
        <w:rPr>
          <w:rFonts w:ascii="Segoe UI" w:hAnsi="Segoe UI" w:cs="Segoe UI"/>
          <w:sz w:val="20"/>
          <w:szCs w:val="20"/>
        </w:rPr>
        <w:t>Kriton Glen,</w:t>
      </w:r>
      <w:r>
        <w:rPr>
          <w:rFonts w:ascii="Segoe UI" w:hAnsi="Segoe UI" w:cs="Segoe UI"/>
          <w:sz w:val="20"/>
          <w:szCs w:val="20"/>
        </w:rPr>
        <w:t xml:space="preserve"> </w:t>
      </w:r>
      <w:r w:rsidRPr="00F66774">
        <w:rPr>
          <w:rFonts w:ascii="Segoe UI" w:hAnsi="Segoe UI" w:cs="Segoe UI"/>
          <w:sz w:val="20"/>
          <w:szCs w:val="20"/>
        </w:rPr>
        <w:t xml:space="preserve">Geoscience Australia, </w:t>
      </w:r>
      <w:r w:rsidRPr="00DC5ABB">
        <w:rPr>
          <w:rFonts w:ascii="Segoe UI" w:hAnsi="Segoe UI" w:cs="Segoe UI"/>
          <w:sz w:val="20"/>
          <w:szCs w:val="20"/>
        </w:rPr>
        <w:t>Hydrogeology and Energy Section Leader.</w:t>
      </w:r>
    </w:p>
    <w:p w14:paraId="6112333C" w14:textId="0F9BDEAE" w:rsidR="00CA1F6B" w:rsidRPr="00F66774" w:rsidRDefault="00CA1F6B" w:rsidP="00CA1F6B">
      <w:pPr>
        <w:pStyle w:val="ListParagraph"/>
        <w:numPr>
          <w:ilvl w:val="0"/>
          <w:numId w:val="11"/>
        </w:numPr>
        <w:rPr>
          <w:rFonts w:ascii="Segoe UI" w:hAnsi="Segoe UI" w:cs="Segoe UI"/>
          <w:sz w:val="20"/>
          <w:szCs w:val="20"/>
        </w:rPr>
      </w:pPr>
      <w:r w:rsidRPr="00F66774">
        <w:rPr>
          <w:rFonts w:ascii="Segoe UI" w:hAnsi="Segoe UI" w:cs="Segoe UI"/>
          <w:sz w:val="20"/>
          <w:szCs w:val="20"/>
        </w:rPr>
        <w:t xml:space="preserve">Lloyd Sampson, DEWNR Principal </w:t>
      </w:r>
      <w:proofErr w:type="spellStart"/>
      <w:r w:rsidRPr="00F66774">
        <w:rPr>
          <w:rFonts w:ascii="Segoe UI" w:hAnsi="Segoe UI" w:cs="Segoe UI"/>
          <w:sz w:val="20"/>
          <w:szCs w:val="20"/>
        </w:rPr>
        <w:t>Hydrogeologist</w:t>
      </w:r>
      <w:proofErr w:type="spellEnd"/>
      <w:r w:rsidR="001F49DB">
        <w:rPr>
          <w:rFonts w:ascii="Segoe UI" w:hAnsi="Segoe UI" w:cs="Segoe UI"/>
          <w:sz w:val="20"/>
          <w:szCs w:val="20"/>
        </w:rPr>
        <w:t>.</w:t>
      </w:r>
    </w:p>
    <w:p w14:paraId="23AF1608" w14:textId="69BA8051" w:rsidR="00CA1F6B" w:rsidRPr="00F66774" w:rsidRDefault="00CA1F6B" w:rsidP="00CA1F6B">
      <w:pPr>
        <w:pStyle w:val="ListParagraph"/>
        <w:numPr>
          <w:ilvl w:val="0"/>
          <w:numId w:val="11"/>
        </w:numPr>
        <w:rPr>
          <w:rFonts w:ascii="Segoe UI" w:hAnsi="Segoe UI" w:cs="Segoe UI"/>
          <w:sz w:val="20"/>
          <w:szCs w:val="20"/>
        </w:rPr>
      </w:pPr>
      <w:r w:rsidRPr="00F66774">
        <w:rPr>
          <w:rFonts w:ascii="Segoe UI" w:hAnsi="Segoe UI" w:cs="Segoe UI"/>
          <w:sz w:val="20"/>
          <w:szCs w:val="20"/>
        </w:rPr>
        <w:t>Jeff Foulkes, DEWNR Principal Ecologist</w:t>
      </w:r>
      <w:r w:rsidR="001F49DB">
        <w:rPr>
          <w:rFonts w:ascii="Segoe UI" w:hAnsi="Segoe UI" w:cs="Segoe UI"/>
          <w:sz w:val="20"/>
          <w:szCs w:val="20"/>
        </w:rPr>
        <w:t>.</w:t>
      </w:r>
    </w:p>
    <w:p w14:paraId="32DF7FCE" w14:textId="32D98BBA" w:rsidR="00CA1F6B" w:rsidRPr="00F66774" w:rsidRDefault="00CA1F6B" w:rsidP="00CA1F6B">
      <w:pPr>
        <w:pStyle w:val="ListParagraph"/>
        <w:numPr>
          <w:ilvl w:val="0"/>
          <w:numId w:val="11"/>
        </w:numPr>
        <w:rPr>
          <w:rFonts w:ascii="Segoe UI" w:hAnsi="Segoe UI" w:cs="Segoe UI"/>
          <w:sz w:val="20"/>
          <w:szCs w:val="20"/>
        </w:rPr>
      </w:pPr>
      <w:r w:rsidRPr="00F66774">
        <w:rPr>
          <w:rFonts w:ascii="Segoe UI" w:hAnsi="Segoe UI" w:cs="Segoe UI"/>
          <w:sz w:val="20"/>
          <w:szCs w:val="20"/>
        </w:rPr>
        <w:t>Catherine Miles, Lake Eyre Basin expert Ecologist</w:t>
      </w:r>
      <w:r w:rsidR="001F49DB">
        <w:rPr>
          <w:rFonts w:ascii="Segoe UI" w:hAnsi="Segoe UI" w:cs="Segoe UI"/>
          <w:sz w:val="20"/>
          <w:szCs w:val="20"/>
        </w:rPr>
        <w:t>.</w:t>
      </w:r>
    </w:p>
    <w:p w14:paraId="354EBE34" w14:textId="5ED2326A" w:rsidR="00CA1F6B" w:rsidRPr="00F66774" w:rsidRDefault="00CA1F6B" w:rsidP="00CA1F6B">
      <w:pPr>
        <w:pStyle w:val="ListParagraph"/>
        <w:numPr>
          <w:ilvl w:val="0"/>
          <w:numId w:val="11"/>
        </w:numPr>
        <w:rPr>
          <w:rFonts w:ascii="Segoe UI" w:hAnsi="Segoe UI" w:cs="Segoe UI"/>
          <w:sz w:val="20"/>
          <w:szCs w:val="20"/>
        </w:rPr>
      </w:pPr>
      <w:r w:rsidRPr="00F66774">
        <w:rPr>
          <w:rFonts w:ascii="Segoe UI" w:hAnsi="Segoe UI" w:cs="Segoe UI"/>
          <w:sz w:val="20"/>
          <w:szCs w:val="20"/>
        </w:rPr>
        <w:t>Ben Plush, DEWNR GIS Consultant</w:t>
      </w:r>
      <w:r w:rsidR="001F49DB">
        <w:rPr>
          <w:rFonts w:ascii="Segoe UI" w:hAnsi="Segoe UI" w:cs="Segoe UI"/>
          <w:sz w:val="20"/>
          <w:szCs w:val="20"/>
        </w:rPr>
        <w:t>.</w:t>
      </w:r>
    </w:p>
    <w:p w14:paraId="7E35362E" w14:textId="40E4F02A" w:rsidR="00CA1F6B" w:rsidRPr="00F66774" w:rsidRDefault="00CA1F6B" w:rsidP="00CA1F6B">
      <w:pPr>
        <w:pStyle w:val="ListParagraph"/>
        <w:numPr>
          <w:ilvl w:val="0"/>
          <w:numId w:val="11"/>
        </w:numPr>
        <w:rPr>
          <w:rFonts w:ascii="Segoe UI" w:hAnsi="Segoe UI" w:cs="Segoe UI"/>
          <w:sz w:val="20"/>
          <w:szCs w:val="20"/>
        </w:rPr>
      </w:pPr>
      <w:r w:rsidRPr="00F66774">
        <w:rPr>
          <w:rFonts w:ascii="Segoe UI" w:hAnsi="Segoe UI" w:cs="Segoe UI"/>
          <w:sz w:val="20"/>
          <w:szCs w:val="20"/>
        </w:rPr>
        <w:t xml:space="preserve">Alex Osti, DEWNR Senior </w:t>
      </w:r>
      <w:proofErr w:type="spellStart"/>
      <w:r w:rsidRPr="00F66774">
        <w:rPr>
          <w:rFonts w:ascii="Segoe UI" w:hAnsi="Segoe UI" w:cs="Segoe UI"/>
          <w:sz w:val="20"/>
          <w:szCs w:val="20"/>
        </w:rPr>
        <w:t>Hydrogeologist</w:t>
      </w:r>
      <w:proofErr w:type="spellEnd"/>
      <w:r w:rsidR="001F49DB">
        <w:rPr>
          <w:rFonts w:ascii="Segoe UI" w:hAnsi="Segoe UI" w:cs="Segoe UI"/>
          <w:sz w:val="20"/>
          <w:szCs w:val="20"/>
        </w:rPr>
        <w:t>.</w:t>
      </w:r>
    </w:p>
    <w:p w14:paraId="35F99D63" w14:textId="56CA4B95" w:rsidR="001A51AF" w:rsidRDefault="001A51AF" w:rsidP="001F49DB">
      <w:pPr>
        <w:pStyle w:val="ListParagraph"/>
        <w:numPr>
          <w:ilvl w:val="0"/>
          <w:numId w:val="11"/>
        </w:numPr>
        <w:rPr>
          <w:rFonts w:ascii="Segoe UI" w:hAnsi="Segoe UI" w:cs="Segoe UI"/>
          <w:sz w:val="20"/>
          <w:szCs w:val="20"/>
        </w:rPr>
      </w:pPr>
      <w:r w:rsidRPr="001A51AF">
        <w:rPr>
          <w:rFonts w:ascii="Segoe UI" w:hAnsi="Segoe UI" w:cs="Segoe UI"/>
          <w:sz w:val="20"/>
          <w:szCs w:val="20"/>
        </w:rPr>
        <w:t>Angus Duguid, Northern Territory Department of Land Resource Management, Wetland Scientist</w:t>
      </w:r>
      <w:r>
        <w:rPr>
          <w:rFonts w:ascii="Segoe UI" w:hAnsi="Segoe UI" w:cs="Segoe UI"/>
          <w:sz w:val="20"/>
          <w:szCs w:val="20"/>
        </w:rPr>
        <w:t>.</w:t>
      </w:r>
    </w:p>
    <w:p w14:paraId="29E72795" w14:textId="23E63DD9" w:rsidR="00522190" w:rsidRDefault="00522190" w:rsidP="001F49DB">
      <w:pPr>
        <w:pStyle w:val="ListParagraph"/>
        <w:numPr>
          <w:ilvl w:val="0"/>
          <w:numId w:val="11"/>
        </w:numPr>
        <w:rPr>
          <w:rFonts w:ascii="Segoe UI" w:hAnsi="Segoe UI" w:cs="Segoe UI"/>
          <w:sz w:val="20"/>
          <w:szCs w:val="20"/>
        </w:rPr>
      </w:pPr>
      <w:r>
        <w:rPr>
          <w:rFonts w:ascii="Segoe UI" w:hAnsi="Segoe UI" w:cs="Segoe UI"/>
          <w:sz w:val="20"/>
          <w:szCs w:val="20"/>
        </w:rPr>
        <w:t>Ryan Hooper, Senior Ecologist, DEWNR</w:t>
      </w:r>
    </w:p>
    <w:p w14:paraId="7FE69BA4" w14:textId="29DE4510" w:rsidR="001F49DB" w:rsidRDefault="001F49DB" w:rsidP="001F49DB">
      <w:pPr>
        <w:pStyle w:val="ListParagraph"/>
        <w:numPr>
          <w:ilvl w:val="0"/>
          <w:numId w:val="11"/>
        </w:numPr>
        <w:rPr>
          <w:rFonts w:ascii="Segoe UI" w:hAnsi="Segoe UI" w:cs="Segoe UI"/>
          <w:sz w:val="20"/>
          <w:szCs w:val="20"/>
        </w:rPr>
      </w:pPr>
      <w:r w:rsidRPr="00F66774">
        <w:rPr>
          <w:rFonts w:ascii="Segoe UI" w:hAnsi="Segoe UI" w:cs="Segoe UI"/>
          <w:sz w:val="20"/>
          <w:szCs w:val="20"/>
        </w:rPr>
        <w:t>Andy Harrison,</w:t>
      </w:r>
      <w:r>
        <w:rPr>
          <w:rFonts w:ascii="Segoe UI" w:hAnsi="Segoe UI" w:cs="Segoe UI"/>
          <w:sz w:val="20"/>
          <w:szCs w:val="20"/>
        </w:rPr>
        <w:t xml:space="preserve"> DEWNR</w:t>
      </w:r>
      <w:r w:rsidRPr="00F66774">
        <w:rPr>
          <w:rFonts w:ascii="Segoe UI" w:hAnsi="Segoe UI" w:cs="Segoe UI"/>
          <w:sz w:val="20"/>
          <w:szCs w:val="20"/>
        </w:rPr>
        <w:t xml:space="preserve"> Lake Eyre Basin Rivers Monitoring Project Manager/Senior Ecologist</w:t>
      </w:r>
      <w:r>
        <w:rPr>
          <w:rFonts w:ascii="Segoe UI" w:hAnsi="Segoe UI" w:cs="Segoe UI"/>
          <w:sz w:val="20"/>
          <w:szCs w:val="20"/>
        </w:rPr>
        <w:t>.</w:t>
      </w:r>
    </w:p>
    <w:p w14:paraId="1235741E" w14:textId="66216D98" w:rsidR="00ED43EB" w:rsidRPr="00ED43EB" w:rsidRDefault="00ED43EB" w:rsidP="00ED43EB">
      <w:pPr>
        <w:ind w:left="360"/>
        <w:rPr>
          <w:rFonts w:cs="Segoe UI"/>
          <w:sz w:val="20"/>
          <w:szCs w:val="20"/>
        </w:rPr>
      </w:pPr>
      <w:r>
        <w:rPr>
          <w:rFonts w:cs="Segoe UI"/>
          <w:sz w:val="20"/>
          <w:szCs w:val="20"/>
        </w:rPr>
        <w:t xml:space="preserve">Additional workshop </w:t>
      </w:r>
      <w:r w:rsidR="001D1CDA">
        <w:rPr>
          <w:rFonts w:cs="Segoe UI"/>
          <w:sz w:val="20"/>
          <w:szCs w:val="20"/>
        </w:rPr>
        <w:t>were subsequently</w:t>
      </w:r>
      <w:r>
        <w:rPr>
          <w:rFonts w:cs="Segoe UI"/>
          <w:sz w:val="20"/>
          <w:szCs w:val="20"/>
        </w:rPr>
        <w:t xml:space="preserve"> held to reassess the PAEs based upon comments received </w:t>
      </w:r>
      <w:r w:rsidR="001D1CDA">
        <w:rPr>
          <w:rFonts w:cs="Segoe UI"/>
          <w:sz w:val="20"/>
          <w:szCs w:val="20"/>
        </w:rPr>
        <w:t>through</w:t>
      </w:r>
      <w:r>
        <w:rPr>
          <w:rFonts w:cs="Segoe UI"/>
          <w:sz w:val="20"/>
          <w:szCs w:val="20"/>
        </w:rPr>
        <w:t xml:space="preserve"> Geoscience Australia</w:t>
      </w:r>
      <w:r w:rsidR="001D1CDA">
        <w:rPr>
          <w:rFonts w:cs="Segoe UI"/>
          <w:sz w:val="20"/>
          <w:szCs w:val="20"/>
        </w:rPr>
        <w:t xml:space="preserve"> from the Bioregional Assessment team</w:t>
      </w:r>
      <w:r w:rsidR="00A657BF">
        <w:rPr>
          <w:rFonts w:cs="Segoe UI"/>
          <w:sz w:val="20"/>
          <w:szCs w:val="20"/>
        </w:rPr>
        <w:t>, with the inclusion of additional assumptions to refine the PAEs</w:t>
      </w:r>
      <w:r>
        <w:rPr>
          <w:rFonts w:cs="Segoe UI"/>
          <w:sz w:val="20"/>
          <w:szCs w:val="20"/>
        </w:rPr>
        <w:t xml:space="preserve">. </w:t>
      </w:r>
    </w:p>
    <w:p w14:paraId="350AFD0B" w14:textId="77777777" w:rsidR="00A04862" w:rsidRDefault="00A04862" w:rsidP="00A04862">
      <w:pPr>
        <w:pStyle w:val="Heading2"/>
      </w:pPr>
      <w:bookmarkStart w:id="8" w:name="_Toc394076579"/>
      <w:r>
        <w:t>General Assumptions</w:t>
      </w:r>
      <w:bookmarkEnd w:id="8"/>
    </w:p>
    <w:p w14:paraId="19EB9FFB" w14:textId="474F8EB2" w:rsidR="005C38F0" w:rsidRPr="00F66774" w:rsidRDefault="005C38F0" w:rsidP="005C38F0">
      <w:pPr>
        <w:pStyle w:val="BodyText"/>
        <w:ind w:left="0"/>
        <w:rPr>
          <w:rFonts w:cs="Segoe UI"/>
          <w:szCs w:val="20"/>
        </w:rPr>
      </w:pPr>
      <w:r w:rsidRPr="00F66774">
        <w:rPr>
          <w:rFonts w:cs="Segoe UI"/>
          <w:szCs w:val="20"/>
        </w:rPr>
        <w:t>The following assumptions were applied to defin</w:t>
      </w:r>
      <w:r w:rsidR="0099001E">
        <w:rPr>
          <w:rFonts w:cs="Segoe UI"/>
          <w:szCs w:val="20"/>
        </w:rPr>
        <w:t>e</w:t>
      </w:r>
      <w:r w:rsidRPr="00F66774">
        <w:rPr>
          <w:rFonts w:cs="Segoe UI"/>
          <w:szCs w:val="20"/>
        </w:rPr>
        <w:t xml:space="preserve"> the PAE for </w:t>
      </w:r>
      <w:proofErr w:type="spellStart"/>
      <w:r w:rsidRPr="00F66774">
        <w:rPr>
          <w:rFonts w:cs="Segoe UI"/>
          <w:szCs w:val="20"/>
        </w:rPr>
        <w:t>Arckaringa</w:t>
      </w:r>
      <w:proofErr w:type="spellEnd"/>
      <w:r w:rsidRPr="00F66774">
        <w:rPr>
          <w:rFonts w:cs="Segoe UI"/>
          <w:szCs w:val="20"/>
        </w:rPr>
        <w:t xml:space="preserve"> and </w:t>
      </w:r>
      <w:proofErr w:type="spellStart"/>
      <w:r w:rsidRPr="00F66774">
        <w:rPr>
          <w:rFonts w:cs="Segoe UI"/>
          <w:szCs w:val="20"/>
        </w:rPr>
        <w:t>Pedirka</w:t>
      </w:r>
      <w:proofErr w:type="spellEnd"/>
      <w:r w:rsidRPr="00F66774">
        <w:rPr>
          <w:rFonts w:cs="Segoe UI"/>
          <w:szCs w:val="20"/>
        </w:rPr>
        <w:t xml:space="preserve"> Basins:</w:t>
      </w:r>
    </w:p>
    <w:p w14:paraId="1201D29D" w14:textId="1064FD8C" w:rsidR="003915FA" w:rsidRPr="003915FA" w:rsidRDefault="003915FA" w:rsidP="000776C2">
      <w:pPr>
        <w:pStyle w:val="ListParagraph"/>
        <w:numPr>
          <w:ilvl w:val="0"/>
          <w:numId w:val="5"/>
        </w:numPr>
        <w:rPr>
          <w:rFonts w:ascii="Segoe UI" w:hAnsi="Segoe UI" w:cs="Segoe UI"/>
          <w:sz w:val="20"/>
          <w:szCs w:val="20"/>
        </w:rPr>
      </w:pPr>
      <w:r w:rsidRPr="003915FA">
        <w:rPr>
          <w:rFonts w:ascii="Segoe UI" w:hAnsi="Segoe UI" w:cs="Segoe UI"/>
          <w:sz w:val="20"/>
          <w:szCs w:val="20"/>
        </w:rPr>
        <w:t>Extent of potential groundwater drawdown derived from DEWNR groundwater Stage 1 preliminary modelling for the Pedirka Basin. Further refinement of the model may alter the extent of PAEs.</w:t>
      </w:r>
      <w:r w:rsidR="00EE17C6">
        <w:rPr>
          <w:rFonts w:ascii="Segoe UI" w:hAnsi="Segoe UI" w:cs="Segoe UI"/>
          <w:sz w:val="20"/>
          <w:szCs w:val="20"/>
        </w:rPr>
        <w:t xml:space="preserve"> Summary details of the modelling is provided as Appendix 1 to this document.</w:t>
      </w:r>
    </w:p>
    <w:p w14:paraId="4EFAFA81" w14:textId="77777777" w:rsidR="0099001E" w:rsidRPr="00F66774" w:rsidRDefault="0099001E" w:rsidP="0099001E">
      <w:pPr>
        <w:pStyle w:val="ListParagraph"/>
        <w:numPr>
          <w:ilvl w:val="0"/>
          <w:numId w:val="5"/>
        </w:numPr>
        <w:rPr>
          <w:rFonts w:ascii="Segoe UI" w:hAnsi="Segoe UI" w:cs="Segoe UI"/>
          <w:sz w:val="20"/>
          <w:szCs w:val="20"/>
        </w:rPr>
      </w:pPr>
      <w:r w:rsidRPr="00F66774">
        <w:rPr>
          <w:rFonts w:ascii="Segoe UI" w:hAnsi="Segoe UI" w:cs="Segoe UI"/>
          <w:sz w:val="20"/>
          <w:szCs w:val="20"/>
        </w:rPr>
        <w:t xml:space="preserve">Due to the absence of short-term (7 year) viable CSG or coal developments in SA, potential specific mining locations are not considered other than known exploration activities occurring in SA.  </w:t>
      </w:r>
    </w:p>
    <w:p w14:paraId="55C598AE" w14:textId="3AA86B27" w:rsidR="00B0654D" w:rsidRPr="00F66774" w:rsidRDefault="00B0654D" w:rsidP="00B0654D">
      <w:pPr>
        <w:pStyle w:val="ListParagraph"/>
        <w:numPr>
          <w:ilvl w:val="0"/>
          <w:numId w:val="5"/>
        </w:numPr>
        <w:rPr>
          <w:rFonts w:ascii="Segoe UI" w:hAnsi="Segoe UI" w:cs="Segoe UI"/>
          <w:sz w:val="20"/>
          <w:szCs w:val="20"/>
        </w:rPr>
      </w:pPr>
      <w:r w:rsidRPr="00F66774">
        <w:rPr>
          <w:rFonts w:ascii="Segoe UI" w:hAnsi="Segoe UI" w:cs="Segoe UI"/>
          <w:sz w:val="20"/>
          <w:szCs w:val="20"/>
        </w:rPr>
        <w:t>Exploration lease</w:t>
      </w:r>
      <w:r w:rsidR="00E2794E">
        <w:rPr>
          <w:rFonts w:ascii="Segoe UI" w:hAnsi="Segoe UI" w:cs="Segoe UI"/>
          <w:sz w:val="20"/>
          <w:szCs w:val="20"/>
        </w:rPr>
        <w:t xml:space="preserve"> area</w:t>
      </w:r>
      <w:r w:rsidRPr="00F66774">
        <w:rPr>
          <w:rFonts w:ascii="Segoe UI" w:hAnsi="Segoe UI" w:cs="Segoe UI"/>
          <w:sz w:val="20"/>
          <w:szCs w:val="20"/>
        </w:rPr>
        <w:t>s</w:t>
      </w:r>
      <w:r w:rsidR="0099001E">
        <w:rPr>
          <w:rFonts w:ascii="Segoe UI" w:hAnsi="Segoe UI" w:cs="Segoe UI"/>
          <w:sz w:val="20"/>
          <w:szCs w:val="20"/>
        </w:rPr>
        <w:t xml:space="preserve"> were</w:t>
      </w:r>
      <w:r w:rsidRPr="00F66774">
        <w:rPr>
          <w:rFonts w:ascii="Segoe UI" w:hAnsi="Segoe UI" w:cs="Segoe UI"/>
          <w:sz w:val="20"/>
          <w:szCs w:val="20"/>
        </w:rPr>
        <w:t xml:space="preserve"> included to determine known and potential </w:t>
      </w:r>
      <w:r w:rsidR="00E2794E">
        <w:rPr>
          <w:rFonts w:ascii="Segoe UI" w:hAnsi="Segoe UI" w:cs="Segoe UI"/>
          <w:sz w:val="20"/>
          <w:szCs w:val="20"/>
        </w:rPr>
        <w:t>mining</w:t>
      </w:r>
      <w:r w:rsidRPr="00F66774">
        <w:rPr>
          <w:rFonts w:ascii="Segoe UI" w:hAnsi="Segoe UI" w:cs="Segoe UI"/>
          <w:sz w:val="20"/>
          <w:szCs w:val="20"/>
        </w:rPr>
        <w:t xml:space="preserve"> activities, recognising these cover all mapped coal resources for the Pedirka and Arckaringa Basins.</w:t>
      </w:r>
    </w:p>
    <w:p w14:paraId="7F651648" w14:textId="7B2F6A78" w:rsidR="00A04862" w:rsidRPr="00F66774" w:rsidRDefault="00A04862" w:rsidP="00A04862">
      <w:pPr>
        <w:pStyle w:val="ListParagraph"/>
        <w:numPr>
          <w:ilvl w:val="0"/>
          <w:numId w:val="5"/>
        </w:numPr>
        <w:rPr>
          <w:rFonts w:ascii="Segoe UI" w:hAnsi="Segoe UI" w:cs="Segoe UI"/>
          <w:sz w:val="20"/>
          <w:szCs w:val="20"/>
        </w:rPr>
      </w:pPr>
      <w:r w:rsidRPr="00F66774">
        <w:rPr>
          <w:rFonts w:ascii="Segoe UI" w:hAnsi="Segoe UI" w:cs="Segoe UI"/>
          <w:sz w:val="20"/>
          <w:szCs w:val="20"/>
        </w:rPr>
        <w:t>Exploration Lease areas do not</w:t>
      </w:r>
      <w:r w:rsidR="00FD0E32" w:rsidRPr="00F66774">
        <w:rPr>
          <w:rFonts w:ascii="Segoe UI" w:hAnsi="Segoe UI" w:cs="Segoe UI"/>
          <w:sz w:val="20"/>
          <w:szCs w:val="20"/>
        </w:rPr>
        <w:t xml:space="preserve"> specifically</w:t>
      </w:r>
      <w:r w:rsidRPr="00F66774">
        <w:rPr>
          <w:rFonts w:ascii="Segoe UI" w:hAnsi="Segoe UI" w:cs="Segoe UI"/>
          <w:sz w:val="20"/>
          <w:szCs w:val="20"/>
        </w:rPr>
        <w:t xml:space="preserve"> include potential mining related infrastructure</w:t>
      </w:r>
      <w:r w:rsidR="00B0654D" w:rsidRPr="00F66774">
        <w:rPr>
          <w:rFonts w:ascii="Segoe UI" w:hAnsi="Segoe UI" w:cs="Segoe UI"/>
          <w:sz w:val="20"/>
          <w:szCs w:val="20"/>
        </w:rPr>
        <w:t xml:space="preserve"> corridors</w:t>
      </w:r>
      <w:r w:rsidRPr="00F66774">
        <w:rPr>
          <w:rFonts w:ascii="Segoe UI" w:hAnsi="Segoe UI" w:cs="Segoe UI"/>
          <w:sz w:val="20"/>
          <w:szCs w:val="20"/>
        </w:rPr>
        <w:t>, such as pipelines</w:t>
      </w:r>
      <w:r w:rsidR="00FD0E32" w:rsidRPr="00F66774">
        <w:rPr>
          <w:rFonts w:ascii="Segoe UI" w:hAnsi="Segoe UI" w:cs="Segoe UI"/>
          <w:sz w:val="20"/>
          <w:szCs w:val="20"/>
        </w:rPr>
        <w:t xml:space="preserve"> and</w:t>
      </w:r>
      <w:r w:rsidRPr="00F66774">
        <w:rPr>
          <w:rFonts w:ascii="Segoe UI" w:hAnsi="Segoe UI" w:cs="Segoe UI"/>
          <w:sz w:val="20"/>
          <w:szCs w:val="20"/>
        </w:rPr>
        <w:t xml:space="preserve"> access roads</w:t>
      </w:r>
      <w:r w:rsidR="00FD0E32" w:rsidRPr="00F66774">
        <w:rPr>
          <w:rFonts w:ascii="Segoe UI" w:hAnsi="Segoe UI" w:cs="Segoe UI"/>
          <w:sz w:val="20"/>
          <w:szCs w:val="20"/>
        </w:rPr>
        <w:t xml:space="preserve"> outside of the mining lease boundaries</w:t>
      </w:r>
      <w:r w:rsidRPr="00F66774">
        <w:rPr>
          <w:rFonts w:ascii="Segoe UI" w:hAnsi="Segoe UI" w:cs="Segoe UI"/>
          <w:sz w:val="20"/>
          <w:szCs w:val="20"/>
        </w:rPr>
        <w:t xml:space="preserve">. </w:t>
      </w:r>
    </w:p>
    <w:p w14:paraId="6414B30A" w14:textId="10396223" w:rsidR="008A17E0" w:rsidRDefault="008A17E0" w:rsidP="00A04862">
      <w:pPr>
        <w:pStyle w:val="ListParagraph"/>
        <w:numPr>
          <w:ilvl w:val="0"/>
          <w:numId w:val="5"/>
        </w:numPr>
        <w:rPr>
          <w:rFonts w:ascii="Segoe UI" w:hAnsi="Segoe UI" w:cs="Segoe UI"/>
          <w:sz w:val="20"/>
          <w:szCs w:val="20"/>
        </w:rPr>
      </w:pPr>
      <w:r w:rsidRPr="00F66774">
        <w:rPr>
          <w:rFonts w:ascii="Segoe UI" w:hAnsi="Segoe UI" w:cs="Segoe UI"/>
          <w:sz w:val="20"/>
          <w:szCs w:val="20"/>
        </w:rPr>
        <w:t xml:space="preserve">Influence of introduced weed and pests as a result of an increased mining related workforce into an area </w:t>
      </w:r>
      <w:r w:rsidRPr="0099001E">
        <w:rPr>
          <w:rFonts w:ascii="Segoe UI" w:hAnsi="Segoe UI" w:cs="Segoe UI"/>
          <w:sz w:val="20"/>
          <w:szCs w:val="20"/>
        </w:rPr>
        <w:t>are excluded.</w:t>
      </w:r>
      <w:r w:rsidRPr="00F66774">
        <w:rPr>
          <w:rFonts w:ascii="Segoe UI" w:hAnsi="Segoe UI" w:cs="Segoe UI"/>
          <w:sz w:val="20"/>
          <w:szCs w:val="20"/>
        </w:rPr>
        <w:t xml:space="preserve"> For example,</w:t>
      </w:r>
      <w:r w:rsidR="00FD0E32" w:rsidRPr="00F66774">
        <w:rPr>
          <w:rFonts w:ascii="Segoe UI" w:hAnsi="Segoe UI" w:cs="Segoe UI"/>
          <w:sz w:val="20"/>
          <w:szCs w:val="20"/>
        </w:rPr>
        <w:t xml:space="preserve"> increased recreational </w:t>
      </w:r>
      <w:r w:rsidR="005B7BD5">
        <w:rPr>
          <w:rFonts w:ascii="Segoe UI" w:hAnsi="Segoe UI" w:cs="Segoe UI"/>
          <w:sz w:val="20"/>
          <w:szCs w:val="20"/>
        </w:rPr>
        <w:t>fishing may lead to the increased risk of exotic species releases into aquatic environments which could</w:t>
      </w:r>
      <w:r w:rsidRPr="00F66774">
        <w:rPr>
          <w:rFonts w:ascii="Segoe UI" w:hAnsi="Segoe UI" w:cs="Segoe UI"/>
          <w:sz w:val="20"/>
          <w:szCs w:val="20"/>
        </w:rPr>
        <w:t xml:space="preserve"> feasibly extend the PAE into upstream areas, which would otherwise be excluded.</w:t>
      </w:r>
      <w:r w:rsidR="005B7BD5" w:rsidRPr="005B7BD5">
        <w:rPr>
          <w:rFonts w:ascii="Segoe UI" w:hAnsi="Segoe UI" w:cs="Segoe UI"/>
          <w:sz w:val="20"/>
          <w:szCs w:val="20"/>
        </w:rPr>
        <w:t xml:space="preserve"> </w:t>
      </w:r>
      <w:r w:rsidR="005B7BD5" w:rsidRPr="00F66774">
        <w:rPr>
          <w:rFonts w:ascii="Segoe UI" w:hAnsi="Segoe UI" w:cs="Segoe UI"/>
          <w:sz w:val="20"/>
          <w:szCs w:val="20"/>
        </w:rPr>
        <w:t>In addition</w:t>
      </w:r>
      <w:r w:rsidR="005B7BD5">
        <w:rPr>
          <w:rFonts w:ascii="Segoe UI" w:hAnsi="Segoe UI" w:cs="Segoe UI"/>
          <w:sz w:val="20"/>
          <w:szCs w:val="20"/>
        </w:rPr>
        <w:t>,</w:t>
      </w:r>
      <w:r w:rsidR="005B7BD5" w:rsidRPr="00F66774">
        <w:rPr>
          <w:rFonts w:ascii="Segoe UI" w:hAnsi="Segoe UI" w:cs="Segoe UI"/>
          <w:sz w:val="20"/>
          <w:szCs w:val="20"/>
        </w:rPr>
        <w:t xml:space="preserve"> </w:t>
      </w:r>
      <w:r w:rsidR="005B7BD5">
        <w:rPr>
          <w:rFonts w:ascii="Segoe UI" w:hAnsi="Segoe UI" w:cs="Segoe UI"/>
          <w:sz w:val="20"/>
          <w:szCs w:val="20"/>
        </w:rPr>
        <w:t xml:space="preserve">established weeds and </w:t>
      </w:r>
      <w:r w:rsidR="005B7BD5" w:rsidRPr="00F66774">
        <w:rPr>
          <w:rFonts w:ascii="Segoe UI" w:hAnsi="Segoe UI" w:cs="Segoe UI"/>
          <w:sz w:val="20"/>
          <w:szCs w:val="20"/>
        </w:rPr>
        <w:t xml:space="preserve">pests </w:t>
      </w:r>
      <w:r w:rsidR="005B7BD5">
        <w:rPr>
          <w:rFonts w:ascii="Segoe UI" w:hAnsi="Segoe UI" w:cs="Segoe UI"/>
          <w:sz w:val="20"/>
          <w:szCs w:val="20"/>
        </w:rPr>
        <w:t>could</w:t>
      </w:r>
      <w:r w:rsidR="005B7BD5" w:rsidRPr="00F66774">
        <w:rPr>
          <w:rFonts w:ascii="Segoe UI" w:hAnsi="Segoe UI" w:cs="Segoe UI"/>
          <w:sz w:val="20"/>
          <w:szCs w:val="20"/>
        </w:rPr>
        <w:t xml:space="preserve"> be favoured by the mining activities</w:t>
      </w:r>
      <w:r w:rsidR="005B7BD5">
        <w:rPr>
          <w:rFonts w:ascii="Segoe UI" w:hAnsi="Segoe UI" w:cs="Segoe UI"/>
          <w:sz w:val="20"/>
          <w:szCs w:val="20"/>
        </w:rPr>
        <w:t xml:space="preserve">. These factors may be </w:t>
      </w:r>
      <w:r w:rsidR="005B7BD5" w:rsidRPr="00F66774">
        <w:rPr>
          <w:rFonts w:ascii="Segoe UI" w:hAnsi="Segoe UI" w:cs="Segoe UI"/>
          <w:sz w:val="20"/>
          <w:szCs w:val="20"/>
        </w:rPr>
        <w:t xml:space="preserve">considered within the Bioregional Assessment, but </w:t>
      </w:r>
      <w:r w:rsidR="005B7BD5">
        <w:rPr>
          <w:rFonts w:ascii="Segoe UI" w:hAnsi="Segoe UI" w:cs="Segoe UI"/>
          <w:sz w:val="20"/>
          <w:szCs w:val="20"/>
        </w:rPr>
        <w:t xml:space="preserve">are </w:t>
      </w:r>
      <w:r w:rsidR="005B7BD5" w:rsidRPr="00F66774">
        <w:rPr>
          <w:rFonts w:ascii="Segoe UI" w:hAnsi="Segoe UI" w:cs="Segoe UI"/>
          <w:sz w:val="20"/>
          <w:szCs w:val="20"/>
        </w:rPr>
        <w:t xml:space="preserve">not specifically used to define the </w:t>
      </w:r>
      <w:r w:rsidR="005B7BD5">
        <w:rPr>
          <w:rFonts w:ascii="Segoe UI" w:hAnsi="Segoe UI" w:cs="Segoe UI"/>
          <w:sz w:val="20"/>
          <w:szCs w:val="20"/>
        </w:rPr>
        <w:t xml:space="preserve">current </w:t>
      </w:r>
      <w:r w:rsidR="005B7BD5" w:rsidRPr="00F66774">
        <w:rPr>
          <w:rFonts w:ascii="Segoe UI" w:hAnsi="Segoe UI" w:cs="Segoe UI"/>
          <w:sz w:val="20"/>
          <w:szCs w:val="20"/>
        </w:rPr>
        <w:t>PAE.</w:t>
      </w:r>
    </w:p>
    <w:p w14:paraId="1D0B62FA" w14:textId="1D5CC7B8" w:rsidR="00522190" w:rsidRPr="00F66774" w:rsidRDefault="00522190" w:rsidP="00A04862">
      <w:pPr>
        <w:pStyle w:val="ListParagraph"/>
        <w:numPr>
          <w:ilvl w:val="0"/>
          <w:numId w:val="5"/>
        </w:numPr>
        <w:rPr>
          <w:rFonts w:ascii="Segoe UI" w:hAnsi="Segoe UI" w:cs="Segoe UI"/>
          <w:sz w:val="20"/>
          <w:szCs w:val="20"/>
        </w:rPr>
      </w:pPr>
      <w:r>
        <w:rPr>
          <w:rFonts w:ascii="Segoe UI" w:hAnsi="Segoe UI" w:cs="Segoe UI"/>
          <w:sz w:val="20"/>
          <w:szCs w:val="20"/>
        </w:rPr>
        <w:lastRenderedPageBreak/>
        <w:t xml:space="preserve">The PAE has been developed with the assumption that open cut coal mining has the potential to drawdown the GAB, where </w:t>
      </w:r>
      <w:r w:rsidR="003915FA">
        <w:rPr>
          <w:rFonts w:ascii="Segoe UI" w:hAnsi="Segoe UI" w:cs="Segoe UI"/>
          <w:sz w:val="20"/>
          <w:szCs w:val="20"/>
        </w:rPr>
        <w:t>coal deposits lie below the</w:t>
      </w:r>
      <w:r w:rsidR="005B7BD5">
        <w:rPr>
          <w:rFonts w:ascii="Segoe UI" w:hAnsi="Segoe UI" w:cs="Segoe UI"/>
          <w:sz w:val="20"/>
          <w:szCs w:val="20"/>
        </w:rPr>
        <w:t xml:space="preserve"> Great Artesian Basin (</w:t>
      </w:r>
      <w:r w:rsidR="003915FA">
        <w:rPr>
          <w:rFonts w:ascii="Segoe UI" w:hAnsi="Segoe UI" w:cs="Segoe UI"/>
          <w:sz w:val="20"/>
          <w:szCs w:val="20"/>
        </w:rPr>
        <w:t>GAB</w:t>
      </w:r>
      <w:r w:rsidR="005B7BD5">
        <w:rPr>
          <w:rFonts w:ascii="Segoe UI" w:hAnsi="Segoe UI" w:cs="Segoe UI"/>
          <w:sz w:val="20"/>
          <w:szCs w:val="20"/>
        </w:rPr>
        <w:t>)</w:t>
      </w:r>
      <w:r w:rsidR="003915FA">
        <w:rPr>
          <w:rFonts w:ascii="Segoe UI" w:hAnsi="Segoe UI" w:cs="Segoe UI"/>
          <w:sz w:val="20"/>
          <w:szCs w:val="20"/>
        </w:rPr>
        <w:t xml:space="preserve"> as a result of dewatering activities.</w:t>
      </w:r>
    </w:p>
    <w:p w14:paraId="7D796B04" w14:textId="77777777" w:rsidR="00A04862" w:rsidRDefault="00A04862" w:rsidP="00A04862">
      <w:pPr>
        <w:pStyle w:val="Heading2"/>
      </w:pPr>
      <w:bookmarkStart w:id="9" w:name="_Toc394076580"/>
      <w:r>
        <w:t>PAE Methodology</w:t>
      </w:r>
      <w:bookmarkEnd w:id="9"/>
    </w:p>
    <w:p w14:paraId="740FCCDE" w14:textId="6C86B791" w:rsidR="00C97C82" w:rsidRPr="00C97C82" w:rsidRDefault="00C97C82" w:rsidP="00C97C82">
      <w:pPr>
        <w:pStyle w:val="BodyText"/>
        <w:ind w:left="0"/>
      </w:pPr>
      <w:r>
        <w:t xml:space="preserve">The current PAE for </w:t>
      </w:r>
      <w:r w:rsidR="001D1CDA">
        <w:t xml:space="preserve">the </w:t>
      </w:r>
      <w:proofErr w:type="spellStart"/>
      <w:r>
        <w:t>Arckaringa</w:t>
      </w:r>
      <w:proofErr w:type="spellEnd"/>
      <w:r>
        <w:t xml:space="preserve"> is presented in Figure 1</w:t>
      </w:r>
      <w:r w:rsidR="001D1CDA">
        <w:t>, with Figure 2 presenting the</w:t>
      </w:r>
      <w:r>
        <w:t xml:space="preserve"> current PAE for</w:t>
      </w:r>
      <w:r w:rsidR="001D1CDA">
        <w:t xml:space="preserve"> the</w:t>
      </w:r>
      <w:r>
        <w:t xml:space="preserve"> </w:t>
      </w:r>
      <w:proofErr w:type="spellStart"/>
      <w:r>
        <w:t>Pedirka</w:t>
      </w:r>
      <w:proofErr w:type="spellEnd"/>
      <w:r>
        <w:t>.</w:t>
      </w:r>
      <w:r w:rsidR="001D1CDA">
        <w:t xml:space="preserve"> These PAEs were derived utilising the assumptions identified below.</w:t>
      </w:r>
    </w:p>
    <w:p w14:paraId="360B828C" w14:textId="77777777" w:rsidR="00A04862" w:rsidRDefault="00A04862" w:rsidP="00A04862">
      <w:pPr>
        <w:pStyle w:val="Heading3"/>
      </w:pPr>
      <w:bookmarkStart w:id="10" w:name="_Toc394076581"/>
      <w:proofErr w:type="spellStart"/>
      <w:r w:rsidRPr="00B07295">
        <w:t>Arckaringa</w:t>
      </w:r>
      <w:bookmarkEnd w:id="10"/>
      <w:proofErr w:type="spellEnd"/>
    </w:p>
    <w:p w14:paraId="729C05B4" w14:textId="158BDB21" w:rsidR="00A04862" w:rsidRPr="00F66774" w:rsidRDefault="00A04862" w:rsidP="00A04862">
      <w:pPr>
        <w:rPr>
          <w:rFonts w:cs="Segoe UI"/>
          <w:sz w:val="20"/>
          <w:szCs w:val="20"/>
        </w:rPr>
      </w:pPr>
      <w:r w:rsidRPr="00F66774">
        <w:rPr>
          <w:rFonts w:cs="Segoe UI"/>
          <w:sz w:val="20"/>
          <w:szCs w:val="20"/>
        </w:rPr>
        <w:t xml:space="preserve">The following </w:t>
      </w:r>
      <w:r w:rsidR="00DC5ABB">
        <w:rPr>
          <w:rFonts w:cs="Segoe UI"/>
          <w:sz w:val="20"/>
          <w:szCs w:val="20"/>
        </w:rPr>
        <w:t xml:space="preserve">methodology was followed </w:t>
      </w:r>
      <w:r w:rsidRPr="00F66774">
        <w:rPr>
          <w:rFonts w:cs="Segoe UI"/>
          <w:sz w:val="20"/>
          <w:szCs w:val="20"/>
        </w:rPr>
        <w:t>to formulate the Arckaringa PAE:</w:t>
      </w:r>
    </w:p>
    <w:p w14:paraId="01442EB0" w14:textId="7E4DBDD2" w:rsidR="00A36803" w:rsidRPr="00D35A85" w:rsidRDefault="00A36803" w:rsidP="00A36803">
      <w:pPr>
        <w:pStyle w:val="ListParagraph"/>
        <w:numPr>
          <w:ilvl w:val="0"/>
          <w:numId w:val="5"/>
        </w:numPr>
        <w:rPr>
          <w:rFonts w:ascii="Segoe UI" w:hAnsi="Segoe UI" w:cs="Segoe UI"/>
          <w:sz w:val="20"/>
          <w:szCs w:val="20"/>
        </w:rPr>
      </w:pPr>
      <w:r w:rsidRPr="00F66774">
        <w:rPr>
          <w:rFonts w:ascii="Segoe UI" w:hAnsi="Segoe UI" w:cs="Segoe UI"/>
          <w:sz w:val="20"/>
          <w:szCs w:val="20"/>
        </w:rPr>
        <w:t xml:space="preserve">Extent of potential groundwater </w:t>
      </w:r>
      <w:r w:rsidRPr="00D35A85">
        <w:rPr>
          <w:rFonts w:ascii="Segoe UI" w:hAnsi="Segoe UI" w:cs="Segoe UI"/>
          <w:sz w:val="20"/>
          <w:szCs w:val="20"/>
        </w:rPr>
        <w:t>drawdown assumed at 2</w:t>
      </w:r>
      <w:r w:rsidR="00387BDF">
        <w:rPr>
          <w:rFonts w:ascii="Segoe UI" w:hAnsi="Segoe UI" w:cs="Segoe UI"/>
          <w:sz w:val="20"/>
          <w:szCs w:val="20"/>
        </w:rPr>
        <w:t>1</w:t>
      </w:r>
      <w:r w:rsidRPr="00D35A85">
        <w:rPr>
          <w:rFonts w:ascii="Segoe UI" w:hAnsi="Segoe UI" w:cs="Segoe UI"/>
          <w:sz w:val="20"/>
          <w:szCs w:val="20"/>
        </w:rPr>
        <w:t>0km around coal beds</w:t>
      </w:r>
      <w:r w:rsidR="00C97C82">
        <w:rPr>
          <w:rFonts w:ascii="Segoe UI" w:hAnsi="Segoe UI" w:cs="Segoe UI"/>
          <w:sz w:val="20"/>
          <w:szCs w:val="20"/>
        </w:rPr>
        <w:t xml:space="preserve"> (refer Figure 3</w:t>
      </w:r>
      <w:r w:rsidR="006D1D1F">
        <w:rPr>
          <w:rFonts w:ascii="Segoe UI" w:hAnsi="Segoe UI" w:cs="Segoe UI"/>
          <w:sz w:val="20"/>
          <w:szCs w:val="20"/>
        </w:rPr>
        <w:t>)</w:t>
      </w:r>
      <w:r w:rsidRPr="00D35A85">
        <w:rPr>
          <w:rFonts w:ascii="Segoe UI" w:hAnsi="Segoe UI" w:cs="Segoe UI"/>
          <w:sz w:val="20"/>
          <w:szCs w:val="20"/>
        </w:rPr>
        <w:t>, based upon DEWNR conceptual modelling undertaken for the Pedirka Basin</w:t>
      </w:r>
      <w:r w:rsidR="00387BDF">
        <w:rPr>
          <w:rFonts w:ascii="Segoe UI" w:hAnsi="Segoe UI" w:cs="Segoe UI"/>
          <w:sz w:val="20"/>
          <w:szCs w:val="20"/>
        </w:rPr>
        <w:t xml:space="preserve"> (refer Appendix A for summary of modelling methodology</w:t>
      </w:r>
      <w:r w:rsidR="00A657BF">
        <w:rPr>
          <w:rFonts w:ascii="Segoe UI" w:hAnsi="Segoe UI" w:cs="Segoe UI"/>
          <w:sz w:val="20"/>
          <w:szCs w:val="20"/>
        </w:rPr>
        <w:t>)</w:t>
      </w:r>
      <w:r w:rsidRPr="00D35A85">
        <w:rPr>
          <w:rFonts w:ascii="Segoe UI" w:hAnsi="Segoe UI" w:cs="Segoe UI"/>
          <w:sz w:val="20"/>
          <w:szCs w:val="20"/>
        </w:rPr>
        <w:t xml:space="preserve">. Modelling of the Arckaringa basin is proposed be completed by </w:t>
      </w:r>
      <w:r w:rsidR="00A657BF">
        <w:rPr>
          <w:rFonts w:ascii="Segoe UI" w:hAnsi="Segoe UI" w:cs="Segoe UI"/>
          <w:sz w:val="20"/>
          <w:szCs w:val="20"/>
        </w:rPr>
        <w:t>late</w:t>
      </w:r>
      <w:r w:rsidRPr="00D35A85">
        <w:rPr>
          <w:rFonts w:ascii="Segoe UI" w:hAnsi="Segoe UI" w:cs="Segoe UI"/>
          <w:sz w:val="20"/>
          <w:szCs w:val="20"/>
        </w:rPr>
        <w:t xml:space="preserve"> 2014 which may affect </w:t>
      </w:r>
      <w:r w:rsidR="001F49DB" w:rsidRPr="00D35A85">
        <w:rPr>
          <w:rFonts w:ascii="Segoe UI" w:hAnsi="Segoe UI" w:cs="Segoe UI"/>
          <w:sz w:val="20"/>
          <w:szCs w:val="20"/>
        </w:rPr>
        <w:t>this</w:t>
      </w:r>
      <w:r w:rsidRPr="00D35A85">
        <w:rPr>
          <w:rFonts w:ascii="Segoe UI" w:hAnsi="Segoe UI" w:cs="Segoe UI"/>
          <w:sz w:val="20"/>
          <w:szCs w:val="20"/>
        </w:rPr>
        <w:t xml:space="preserve"> assumption.</w:t>
      </w:r>
      <w:r w:rsidR="007839C9" w:rsidRPr="00D35A85">
        <w:rPr>
          <w:rFonts w:ascii="Segoe UI" w:hAnsi="Segoe UI" w:cs="Segoe UI"/>
          <w:sz w:val="20"/>
          <w:szCs w:val="20"/>
        </w:rPr>
        <w:t xml:space="preserve"> This applied to the north and easterly direction from coal beds within the basin</w:t>
      </w:r>
      <w:r w:rsidR="00197215">
        <w:rPr>
          <w:rFonts w:ascii="Segoe UI" w:hAnsi="Segoe UI" w:cs="Segoe UI"/>
          <w:sz w:val="20"/>
          <w:szCs w:val="20"/>
        </w:rPr>
        <w:t>.</w:t>
      </w:r>
    </w:p>
    <w:p w14:paraId="05A7A367" w14:textId="4B8CF0BF" w:rsidR="00A36803" w:rsidRPr="00D35A85" w:rsidRDefault="00A36803" w:rsidP="00A36803">
      <w:pPr>
        <w:pStyle w:val="ListParagraph"/>
        <w:numPr>
          <w:ilvl w:val="0"/>
          <w:numId w:val="5"/>
        </w:numPr>
        <w:rPr>
          <w:rFonts w:ascii="Segoe UI" w:hAnsi="Segoe UI" w:cs="Segoe UI"/>
          <w:sz w:val="20"/>
          <w:szCs w:val="20"/>
        </w:rPr>
      </w:pPr>
      <w:r w:rsidRPr="00D35A85">
        <w:rPr>
          <w:rFonts w:ascii="Segoe UI" w:hAnsi="Segoe UI" w:cs="Segoe UI"/>
          <w:sz w:val="20"/>
          <w:szCs w:val="20"/>
        </w:rPr>
        <w:t>Inferred 2</w:t>
      </w:r>
      <w:r w:rsidR="00387BDF">
        <w:rPr>
          <w:rFonts w:ascii="Segoe UI" w:hAnsi="Segoe UI" w:cs="Segoe UI"/>
          <w:sz w:val="20"/>
          <w:szCs w:val="20"/>
        </w:rPr>
        <w:t>1</w:t>
      </w:r>
      <w:r w:rsidRPr="00D35A85">
        <w:rPr>
          <w:rFonts w:ascii="Segoe UI" w:hAnsi="Segoe UI" w:cs="Segoe UI"/>
          <w:sz w:val="20"/>
          <w:szCs w:val="20"/>
        </w:rPr>
        <w:t>0km groundwater drawdown exten</w:t>
      </w:r>
      <w:r w:rsidR="00D35A85" w:rsidRPr="00D35A85">
        <w:rPr>
          <w:rFonts w:ascii="Segoe UI" w:hAnsi="Segoe UI" w:cs="Segoe UI"/>
          <w:sz w:val="20"/>
          <w:szCs w:val="20"/>
        </w:rPr>
        <w:t xml:space="preserve">t assumes potential for up to </w:t>
      </w:r>
      <w:r w:rsidR="00DC5ABB">
        <w:rPr>
          <w:rFonts w:ascii="Segoe UI" w:hAnsi="Segoe UI" w:cs="Segoe UI"/>
          <w:sz w:val="20"/>
          <w:szCs w:val="20"/>
        </w:rPr>
        <w:t xml:space="preserve">a </w:t>
      </w:r>
      <w:r w:rsidR="00D35A85" w:rsidRPr="00D35A85">
        <w:rPr>
          <w:rFonts w:ascii="Segoe UI" w:hAnsi="Segoe UI" w:cs="Segoe UI"/>
          <w:sz w:val="20"/>
          <w:szCs w:val="20"/>
        </w:rPr>
        <w:t>5</w:t>
      </w:r>
      <w:r w:rsidRPr="00D35A85">
        <w:rPr>
          <w:rFonts w:ascii="Segoe UI" w:hAnsi="Segoe UI" w:cs="Segoe UI"/>
          <w:sz w:val="20"/>
          <w:szCs w:val="20"/>
        </w:rPr>
        <w:t>0 year L</w:t>
      </w:r>
      <w:r w:rsidR="00DC5ABB">
        <w:rPr>
          <w:rFonts w:ascii="Segoe UI" w:hAnsi="Segoe UI" w:cs="Segoe UI"/>
          <w:sz w:val="20"/>
          <w:szCs w:val="20"/>
        </w:rPr>
        <w:t>ife of Mine (LOM)</w:t>
      </w:r>
      <w:r w:rsidRPr="00D35A85">
        <w:rPr>
          <w:rFonts w:ascii="Segoe UI" w:hAnsi="Segoe UI" w:cs="Segoe UI"/>
          <w:sz w:val="20"/>
          <w:szCs w:val="20"/>
        </w:rPr>
        <w:t xml:space="preserve"> and large scale mining operations.</w:t>
      </w:r>
    </w:p>
    <w:p w14:paraId="2913B278" w14:textId="256AC90A" w:rsidR="002152DE" w:rsidRPr="00D35A85" w:rsidRDefault="000776C2" w:rsidP="002152DE">
      <w:pPr>
        <w:pStyle w:val="ListParagraph"/>
        <w:numPr>
          <w:ilvl w:val="0"/>
          <w:numId w:val="5"/>
        </w:numPr>
        <w:rPr>
          <w:rFonts w:ascii="Segoe UI" w:hAnsi="Segoe UI" w:cs="Segoe UI"/>
          <w:sz w:val="20"/>
          <w:szCs w:val="20"/>
        </w:rPr>
      </w:pPr>
      <w:r>
        <w:rPr>
          <w:rFonts w:ascii="Segoe UI" w:hAnsi="Segoe UI" w:cs="Segoe UI"/>
          <w:sz w:val="20"/>
          <w:szCs w:val="20"/>
        </w:rPr>
        <w:t>Western</w:t>
      </w:r>
      <w:r w:rsidR="007839C9" w:rsidRPr="00D35A85">
        <w:rPr>
          <w:rFonts w:ascii="Segoe UI" w:hAnsi="Segoe UI" w:cs="Segoe UI"/>
          <w:sz w:val="20"/>
          <w:szCs w:val="20"/>
        </w:rPr>
        <w:t xml:space="preserve"> and southern boundaries follow the Great Artesian Basin (GAB) and Arckaringa Basin boundaries taking the further boundary from coal beds to identify potential </w:t>
      </w:r>
      <w:r w:rsidR="00602487" w:rsidRPr="00D35A85">
        <w:rPr>
          <w:rFonts w:ascii="Segoe UI" w:hAnsi="Segoe UI" w:cs="Segoe UI"/>
          <w:sz w:val="20"/>
          <w:szCs w:val="20"/>
        </w:rPr>
        <w:t xml:space="preserve">groundwater </w:t>
      </w:r>
      <w:r w:rsidR="007839C9" w:rsidRPr="00D35A85">
        <w:rPr>
          <w:rFonts w:ascii="Segoe UI" w:hAnsi="Segoe UI" w:cs="Segoe UI"/>
          <w:sz w:val="20"/>
          <w:szCs w:val="20"/>
        </w:rPr>
        <w:t>connectivity.</w:t>
      </w:r>
      <w:r w:rsidR="002152DE" w:rsidRPr="00D35A85">
        <w:rPr>
          <w:rFonts w:ascii="Segoe UI" w:hAnsi="Segoe UI" w:cs="Segoe UI"/>
          <w:sz w:val="20"/>
          <w:szCs w:val="20"/>
        </w:rPr>
        <w:t xml:space="preserve"> </w:t>
      </w:r>
    </w:p>
    <w:p w14:paraId="5FF7CC97" w14:textId="73B279E3" w:rsidR="002152DE" w:rsidRDefault="002152DE" w:rsidP="002152DE">
      <w:pPr>
        <w:pStyle w:val="ListParagraph"/>
        <w:numPr>
          <w:ilvl w:val="0"/>
          <w:numId w:val="5"/>
        </w:numPr>
        <w:rPr>
          <w:rFonts w:ascii="Segoe UI" w:hAnsi="Segoe UI" w:cs="Segoe UI"/>
          <w:sz w:val="20"/>
          <w:szCs w:val="20"/>
        </w:rPr>
      </w:pPr>
      <w:r w:rsidRPr="00D35A85">
        <w:rPr>
          <w:rFonts w:ascii="Segoe UI" w:hAnsi="Segoe UI" w:cs="Segoe UI"/>
          <w:sz w:val="20"/>
          <w:szCs w:val="20"/>
        </w:rPr>
        <w:t>20km buffer boundary included as a contingency around known surface waters and groundwater drawdown extents.</w:t>
      </w:r>
    </w:p>
    <w:p w14:paraId="0823CDC0" w14:textId="0416DAB3" w:rsidR="000776C2" w:rsidRPr="00D35A85" w:rsidRDefault="000776C2" w:rsidP="000776C2">
      <w:pPr>
        <w:pStyle w:val="ListParagraph"/>
        <w:numPr>
          <w:ilvl w:val="0"/>
          <w:numId w:val="5"/>
        </w:numPr>
        <w:rPr>
          <w:rFonts w:ascii="Segoe UI" w:hAnsi="Segoe UI" w:cs="Segoe UI"/>
          <w:sz w:val="20"/>
          <w:szCs w:val="20"/>
        </w:rPr>
      </w:pPr>
      <w:r>
        <w:rPr>
          <w:rFonts w:ascii="Segoe UI" w:hAnsi="Segoe UI" w:cs="Segoe UI"/>
          <w:sz w:val="20"/>
          <w:szCs w:val="20"/>
        </w:rPr>
        <w:t>10 km buffer included</w:t>
      </w:r>
      <w:r w:rsidR="00387BDF">
        <w:rPr>
          <w:rFonts w:ascii="Segoe UI" w:hAnsi="Segoe UI" w:cs="Segoe UI"/>
          <w:sz w:val="20"/>
          <w:szCs w:val="20"/>
        </w:rPr>
        <w:t xml:space="preserve"> where</w:t>
      </w:r>
      <w:r>
        <w:rPr>
          <w:rFonts w:ascii="Segoe UI" w:hAnsi="Segoe UI" w:cs="Segoe UI"/>
          <w:sz w:val="20"/>
          <w:szCs w:val="20"/>
        </w:rPr>
        <w:t xml:space="preserve"> </w:t>
      </w:r>
      <w:r w:rsidR="00387BDF">
        <w:rPr>
          <w:rFonts w:ascii="Segoe UI" w:hAnsi="Segoe UI" w:cs="Segoe UI"/>
          <w:sz w:val="20"/>
          <w:szCs w:val="20"/>
        </w:rPr>
        <w:t xml:space="preserve">PAE intersects with </w:t>
      </w:r>
      <w:r>
        <w:rPr>
          <w:rFonts w:ascii="Segoe UI" w:hAnsi="Segoe UI" w:cs="Segoe UI"/>
          <w:sz w:val="20"/>
          <w:szCs w:val="20"/>
        </w:rPr>
        <w:t xml:space="preserve">fractured rock aquifer (FRA) extents. </w:t>
      </w:r>
    </w:p>
    <w:p w14:paraId="4070A741" w14:textId="4234348C" w:rsidR="002152DE" w:rsidRPr="00F66774" w:rsidRDefault="002152DE" w:rsidP="002152DE">
      <w:pPr>
        <w:pStyle w:val="ListParagraph"/>
        <w:numPr>
          <w:ilvl w:val="0"/>
          <w:numId w:val="5"/>
        </w:numPr>
        <w:rPr>
          <w:rFonts w:ascii="Segoe UI" w:hAnsi="Segoe UI" w:cs="Segoe UI"/>
          <w:sz w:val="20"/>
          <w:szCs w:val="20"/>
        </w:rPr>
      </w:pPr>
      <w:r w:rsidRPr="00D35A85">
        <w:rPr>
          <w:rFonts w:ascii="Segoe UI" w:hAnsi="Segoe UI" w:cs="Segoe UI"/>
          <w:sz w:val="20"/>
          <w:szCs w:val="20"/>
        </w:rPr>
        <w:t xml:space="preserve">Inclusion of springs </w:t>
      </w:r>
      <w:r w:rsidR="00D35A85" w:rsidRPr="00D35A85">
        <w:rPr>
          <w:rFonts w:ascii="Segoe UI" w:hAnsi="Segoe UI" w:cs="Segoe UI"/>
          <w:sz w:val="20"/>
          <w:szCs w:val="20"/>
        </w:rPr>
        <w:t>in close proximity to</w:t>
      </w:r>
      <w:r w:rsidRPr="00D35A85">
        <w:rPr>
          <w:rFonts w:ascii="Segoe UI" w:hAnsi="Segoe UI" w:cs="Segoe UI"/>
          <w:sz w:val="20"/>
          <w:szCs w:val="20"/>
        </w:rPr>
        <w:t xml:space="preserve"> </w:t>
      </w:r>
      <w:r w:rsidR="00387BDF">
        <w:rPr>
          <w:rFonts w:ascii="Segoe UI" w:hAnsi="Segoe UI" w:cs="Segoe UI"/>
          <w:sz w:val="20"/>
          <w:szCs w:val="20"/>
        </w:rPr>
        <w:t>21</w:t>
      </w:r>
      <w:r w:rsidR="00D35A85" w:rsidRPr="00D35A85">
        <w:rPr>
          <w:rFonts w:ascii="Segoe UI" w:hAnsi="Segoe UI" w:cs="Segoe UI"/>
          <w:sz w:val="20"/>
          <w:szCs w:val="20"/>
        </w:rPr>
        <w:t>0</w:t>
      </w:r>
      <w:r w:rsidRPr="00D35A85">
        <w:rPr>
          <w:rFonts w:ascii="Segoe UI" w:hAnsi="Segoe UI" w:cs="Segoe UI"/>
          <w:sz w:val="20"/>
          <w:szCs w:val="20"/>
        </w:rPr>
        <w:t>km radius</w:t>
      </w:r>
      <w:r w:rsidRPr="00F66774">
        <w:rPr>
          <w:rFonts w:ascii="Segoe UI" w:hAnsi="Segoe UI" w:cs="Segoe UI"/>
          <w:sz w:val="20"/>
          <w:szCs w:val="20"/>
        </w:rPr>
        <w:t xml:space="preserve"> from coal beds in an easterly direction based upon knowledge of DEWNR groundwater system.</w:t>
      </w:r>
    </w:p>
    <w:p w14:paraId="0DCE3818" w14:textId="57508E73" w:rsidR="004C3DC4" w:rsidRDefault="004C3DC4" w:rsidP="004C3DC4">
      <w:pPr>
        <w:pStyle w:val="ListParagraph"/>
        <w:numPr>
          <w:ilvl w:val="0"/>
          <w:numId w:val="5"/>
        </w:numPr>
        <w:spacing w:after="200" w:line="276" w:lineRule="auto"/>
        <w:rPr>
          <w:rFonts w:ascii="Segoe UI" w:hAnsi="Segoe UI" w:cs="Segoe UI"/>
          <w:sz w:val="20"/>
          <w:szCs w:val="20"/>
        </w:rPr>
      </w:pPr>
      <w:r w:rsidRPr="00F66774">
        <w:rPr>
          <w:rFonts w:ascii="Segoe UI" w:hAnsi="Segoe UI" w:cs="Segoe UI"/>
          <w:sz w:val="20"/>
          <w:szCs w:val="20"/>
        </w:rPr>
        <w:t xml:space="preserve">Entire Lake Eyre </w:t>
      </w:r>
      <w:r>
        <w:rPr>
          <w:rFonts w:ascii="Segoe UI" w:hAnsi="Segoe UI" w:cs="Segoe UI"/>
          <w:sz w:val="20"/>
          <w:szCs w:val="20"/>
        </w:rPr>
        <w:t xml:space="preserve">(north and south) </w:t>
      </w:r>
      <w:r w:rsidRPr="00F66774">
        <w:rPr>
          <w:rFonts w:ascii="Segoe UI" w:hAnsi="Segoe UI" w:cs="Segoe UI"/>
          <w:sz w:val="20"/>
          <w:szCs w:val="20"/>
        </w:rPr>
        <w:t>boundary incorporated</w:t>
      </w:r>
      <w:r>
        <w:rPr>
          <w:rFonts w:ascii="Segoe UI" w:hAnsi="Segoe UI" w:cs="Segoe UI"/>
          <w:sz w:val="20"/>
          <w:szCs w:val="20"/>
        </w:rPr>
        <w:t xml:space="preserve"> (from SA Waterbodies mapping)</w:t>
      </w:r>
      <w:r w:rsidR="00197215">
        <w:rPr>
          <w:rFonts w:ascii="Segoe UI" w:hAnsi="Segoe UI" w:cs="Segoe UI"/>
          <w:sz w:val="20"/>
          <w:szCs w:val="20"/>
        </w:rPr>
        <w:t>.</w:t>
      </w:r>
    </w:p>
    <w:p w14:paraId="601D476D" w14:textId="5E4BA167" w:rsidR="00ED43EB" w:rsidRDefault="00ED43EB" w:rsidP="004C3DC4">
      <w:pPr>
        <w:pStyle w:val="ListParagraph"/>
        <w:numPr>
          <w:ilvl w:val="0"/>
          <w:numId w:val="5"/>
        </w:numPr>
        <w:spacing w:after="200" w:line="276" w:lineRule="auto"/>
        <w:rPr>
          <w:rFonts w:ascii="Segoe UI" w:hAnsi="Segoe UI" w:cs="Segoe UI"/>
          <w:sz w:val="20"/>
          <w:szCs w:val="20"/>
        </w:rPr>
      </w:pPr>
      <w:r>
        <w:rPr>
          <w:rFonts w:ascii="Segoe UI" w:hAnsi="Segoe UI" w:cs="Segoe UI"/>
          <w:sz w:val="20"/>
          <w:szCs w:val="20"/>
        </w:rPr>
        <w:t xml:space="preserve">Phreatic </w:t>
      </w:r>
      <w:r w:rsidR="00C97C82">
        <w:rPr>
          <w:rFonts w:ascii="Segoe UI" w:hAnsi="Segoe UI" w:cs="Segoe UI"/>
          <w:sz w:val="20"/>
          <w:szCs w:val="20"/>
        </w:rPr>
        <w:t xml:space="preserve">surface </w:t>
      </w:r>
      <w:r w:rsidR="00C94931">
        <w:rPr>
          <w:rFonts w:ascii="Segoe UI" w:hAnsi="Segoe UI" w:cs="Segoe UI"/>
          <w:sz w:val="20"/>
          <w:szCs w:val="20"/>
        </w:rPr>
        <w:t>information</w:t>
      </w:r>
      <w:r>
        <w:rPr>
          <w:rFonts w:ascii="Segoe UI" w:hAnsi="Segoe UI" w:cs="Segoe UI"/>
          <w:sz w:val="20"/>
          <w:szCs w:val="20"/>
        </w:rPr>
        <w:t xml:space="preserve"> </w:t>
      </w:r>
      <w:r w:rsidR="00C97C82">
        <w:rPr>
          <w:rFonts w:ascii="Segoe UI" w:hAnsi="Segoe UI" w:cs="Segoe UI"/>
          <w:sz w:val="20"/>
          <w:szCs w:val="20"/>
        </w:rPr>
        <w:t>(See Figure 5</w:t>
      </w:r>
      <w:r w:rsidR="006D1D1F">
        <w:rPr>
          <w:rFonts w:ascii="Segoe UI" w:hAnsi="Segoe UI" w:cs="Segoe UI"/>
          <w:sz w:val="20"/>
          <w:szCs w:val="20"/>
        </w:rPr>
        <w:t xml:space="preserve">) </w:t>
      </w:r>
      <w:r>
        <w:rPr>
          <w:rFonts w:ascii="Segoe UI" w:hAnsi="Segoe UI" w:cs="Segoe UI"/>
          <w:sz w:val="20"/>
          <w:szCs w:val="20"/>
        </w:rPr>
        <w:t xml:space="preserve">was utilised to identify connectivity to shallow groundwater potentially utilised by vegetation, which was identified up to a 10m depth, based upon decisions made by the Bioregional Assessment team for other PAEs. </w:t>
      </w:r>
    </w:p>
    <w:p w14:paraId="5E49F890" w14:textId="2B49257B" w:rsidR="00ED43EB" w:rsidRPr="00F66774" w:rsidRDefault="00ED43EB" w:rsidP="004C3DC4">
      <w:pPr>
        <w:pStyle w:val="ListParagraph"/>
        <w:numPr>
          <w:ilvl w:val="0"/>
          <w:numId w:val="5"/>
        </w:numPr>
        <w:spacing w:after="200" w:line="276" w:lineRule="auto"/>
        <w:rPr>
          <w:rFonts w:ascii="Segoe UI" w:hAnsi="Segoe UI" w:cs="Segoe UI"/>
          <w:sz w:val="20"/>
          <w:szCs w:val="20"/>
        </w:rPr>
      </w:pPr>
      <w:r>
        <w:rPr>
          <w:rFonts w:ascii="Segoe UI" w:hAnsi="Segoe UI" w:cs="Segoe UI"/>
          <w:sz w:val="20"/>
          <w:szCs w:val="20"/>
        </w:rPr>
        <w:t>Tertiary sediments were excluded from consideration as a buffer to the GAB where they intersect with coal deposits as it was assumed direct impact to the tertiary sediments would occur should open cut mining activities occur.</w:t>
      </w:r>
    </w:p>
    <w:p w14:paraId="63965F65" w14:textId="65AC0B0F" w:rsidR="002152DE" w:rsidRPr="002152DE" w:rsidRDefault="002152DE" w:rsidP="002152DE">
      <w:pPr>
        <w:rPr>
          <w:rFonts w:cs="Segoe UI"/>
          <w:sz w:val="20"/>
          <w:szCs w:val="20"/>
        </w:rPr>
      </w:pPr>
      <w:r>
        <w:rPr>
          <w:rFonts w:cs="Segoe UI"/>
          <w:sz w:val="20"/>
          <w:szCs w:val="20"/>
        </w:rPr>
        <w:t xml:space="preserve">Additional data sets </w:t>
      </w:r>
      <w:r w:rsidR="00602487">
        <w:rPr>
          <w:rFonts w:cs="Segoe UI"/>
          <w:sz w:val="20"/>
          <w:szCs w:val="20"/>
        </w:rPr>
        <w:t xml:space="preserve">and assumptions </w:t>
      </w:r>
      <w:r>
        <w:rPr>
          <w:rFonts w:cs="Segoe UI"/>
          <w:sz w:val="20"/>
          <w:szCs w:val="20"/>
        </w:rPr>
        <w:t>used to derive the PAE and gain an understanding of ecological, hydrological, hydrogeological and mining related features and values include the following:</w:t>
      </w:r>
    </w:p>
    <w:p w14:paraId="44810B84" w14:textId="12ACAE4A" w:rsidR="00BA0756" w:rsidRPr="00BA0756" w:rsidRDefault="00A04862" w:rsidP="00BA0756">
      <w:pPr>
        <w:pStyle w:val="ListParagraph"/>
        <w:numPr>
          <w:ilvl w:val="0"/>
          <w:numId w:val="5"/>
        </w:numPr>
        <w:rPr>
          <w:rFonts w:ascii="Segoe UI" w:hAnsi="Segoe UI" w:cs="Segoe UI"/>
          <w:sz w:val="20"/>
          <w:szCs w:val="20"/>
        </w:rPr>
      </w:pPr>
      <w:r w:rsidRPr="00F66774">
        <w:rPr>
          <w:rFonts w:ascii="Segoe UI" w:hAnsi="Segoe UI" w:cs="Segoe UI"/>
          <w:sz w:val="20"/>
          <w:szCs w:val="20"/>
        </w:rPr>
        <w:t>Arckaringa basin boundary (DEWNR Dataset)</w:t>
      </w:r>
      <w:r w:rsidR="00BA0756">
        <w:rPr>
          <w:rFonts w:ascii="Segoe UI" w:hAnsi="Segoe UI" w:cs="Segoe UI"/>
          <w:sz w:val="20"/>
          <w:szCs w:val="20"/>
        </w:rPr>
        <w:t>,</w:t>
      </w:r>
      <w:r w:rsidR="00BA0756" w:rsidRPr="00BA0756">
        <w:rPr>
          <w:rFonts w:ascii="Segoe UI" w:hAnsi="Segoe UI" w:cs="Segoe UI"/>
          <w:sz w:val="20"/>
          <w:szCs w:val="20"/>
        </w:rPr>
        <w:t xml:space="preserve"> including outlier basin formations excluded from the PAE where outside of the GAB.</w:t>
      </w:r>
    </w:p>
    <w:p w14:paraId="4EC19BB0" w14:textId="483912E4" w:rsidR="00A04862" w:rsidRPr="00F66774" w:rsidRDefault="00A04862" w:rsidP="00A04862">
      <w:pPr>
        <w:pStyle w:val="ListParagraph"/>
        <w:numPr>
          <w:ilvl w:val="0"/>
          <w:numId w:val="5"/>
        </w:numPr>
        <w:rPr>
          <w:rFonts w:ascii="Segoe UI" w:hAnsi="Segoe UI" w:cs="Segoe UI"/>
          <w:sz w:val="20"/>
          <w:szCs w:val="20"/>
        </w:rPr>
      </w:pPr>
      <w:r w:rsidRPr="00F66774">
        <w:rPr>
          <w:rFonts w:ascii="Segoe UI" w:hAnsi="Segoe UI" w:cs="Segoe UI"/>
          <w:sz w:val="20"/>
          <w:szCs w:val="20"/>
        </w:rPr>
        <w:t>DMITRE Mapped areas of economic coal beds (Coal beds)</w:t>
      </w:r>
      <w:r w:rsidR="0099001E">
        <w:rPr>
          <w:rFonts w:ascii="Segoe UI" w:hAnsi="Segoe UI" w:cs="Segoe UI"/>
          <w:sz w:val="20"/>
          <w:szCs w:val="20"/>
        </w:rPr>
        <w:t>.</w:t>
      </w:r>
    </w:p>
    <w:p w14:paraId="747E8481" w14:textId="50967FAE" w:rsidR="00714C18" w:rsidRPr="00F66774" w:rsidRDefault="00714C18" w:rsidP="00714C18">
      <w:pPr>
        <w:pStyle w:val="ListParagraph"/>
        <w:numPr>
          <w:ilvl w:val="0"/>
          <w:numId w:val="5"/>
        </w:numPr>
        <w:rPr>
          <w:rFonts w:ascii="Segoe UI" w:hAnsi="Segoe UI" w:cs="Segoe UI"/>
          <w:sz w:val="20"/>
          <w:szCs w:val="20"/>
        </w:rPr>
      </w:pPr>
      <w:r w:rsidRPr="00F66774">
        <w:rPr>
          <w:rFonts w:ascii="Segoe UI" w:hAnsi="Segoe UI" w:cs="Segoe UI"/>
          <w:sz w:val="20"/>
          <w:szCs w:val="20"/>
        </w:rPr>
        <w:t>Exploration Licences (EL) as lodged with DMITRE</w:t>
      </w:r>
      <w:r w:rsidR="0099001E">
        <w:rPr>
          <w:rFonts w:ascii="Segoe UI" w:hAnsi="Segoe UI" w:cs="Segoe UI"/>
          <w:sz w:val="20"/>
          <w:szCs w:val="20"/>
        </w:rPr>
        <w:t>.</w:t>
      </w:r>
    </w:p>
    <w:p w14:paraId="34AE3356" w14:textId="38AD21A9" w:rsidR="00A04862" w:rsidRPr="00F66774" w:rsidRDefault="00A04862" w:rsidP="00A04862">
      <w:pPr>
        <w:pStyle w:val="ListParagraph"/>
        <w:numPr>
          <w:ilvl w:val="0"/>
          <w:numId w:val="5"/>
        </w:numPr>
        <w:rPr>
          <w:rFonts w:ascii="Segoe UI" w:hAnsi="Segoe UI" w:cs="Segoe UI"/>
          <w:sz w:val="20"/>
          <w:szCs w:val="20"/>
        </w:rPr>
      </w:pPr>
      <w:r w:rsidRPr="00F66774">
        <w:rPr>
          <w:rFonts w:ascii="Segoe UI" w:hAnsi="Segoe UI" w:cs="Segoe UI"/>
          <w:sz w:val="20"/>
          <w:szCs w:val="20"/>
        </w:rPr>
        <w:t>Known watercourses (surface water data) (DEWNR dataset)</w:t>
      </w:r>
      <w:r w:rsidR="0099001E">
        <w:rPr>
          <w:rFonts w:ascii="Segoe UI" w:hAnsi="Segoe UI" w:cs="Segoe UI"/>
          <w:sz w:val="20"/>
          <w:szCs w:val="20"/>
        </w:rPr>
        <w:t>.</w:t>
      </w:r>
    </w:p>
    <w:p w14:paraId="19F4486E" w14:textId="64F11600" w:rsidR="00A04862" w:rsidRPr="00F66774" w:rsidRDefault="00714C18" w:rsidP="00A04862">
      <w:pPr>
        <w:pStyle w:val="ListParagraph"/>
        <w:numPr>
          <w:ilvl w:val="0"/>
          <w:numId w:val="5"/>
        </w:numPr>
        <w:rPr>
          <w:rFonts w:ascii="Segoe UI" w:hAnsi="Segoe UI" w:cs="Segoe UI"/>
          <w:sz w:val="20"/>
          <w:szCs w:val="20"/>
        </w:rPr>
      </w:pPr>
      <w:r w:rsidRPr="00F66774">
        <w:rPr>
          <w:rFonts w:ascii="Segoe UI" w:hAnsi="Segoe UI" w:cs="Segoe UI"/>
          <w:sz w:val="20"/>
          <w:szCs w:val="20"/>
        </w:rPr>
        <w:t>Springs locations (DEWNR dataset</w:t>
      </w:r>
      <w:r w:rsidR="00EC5956" w:rsidRPr="00F66774">
        <w:rPr>
          <w:rFonts w:ascii="Segoe UI" w:hAnsi="Segoe UI" w:cs="Segoe UI"/>
          <w:sz w:val="20"/>
          <w:szCs w:val="20"/>
        </w:rPr>
        <w:t xml:space="preserve"> + national springs database compiled for the Recovery Plan by Fensham et al. 2005)</w:t>
      </w:r>
      <w:r w:rsidRPr="00F66774">
        <w:rPr>
          <w:rFonts w:ascii="Segoe UI" w:hAnsi="Segoe UI" w:cs="Segoe UI"/>
          <w:sz w:val="20"/>
          <w:szCs w:val="20"/>
        </w:rPr>
        <w:t>)</w:t>
      </w:r>
      <w:r w:rsidR="0099001E">
        <w:rPr>
          <w:rFonts w:ascii="Segoe UI" w:hAnsi="Segoe UI" w:cs="Segoe UI"/>
          <w:sz w:val="20"/>
          <w:szCs w:val="20"/>
        </w:rPr>
        <w:t>.</w:t>
      </w:r>
    </w:p>
    <w:p w14:paraId="48EF9105" w14:textId="03E9B682" w:rsidR="00A04862" w:rsidRPr="002B5715" w:rsidRDefault="00503DC6" w:rsidP="00A04862">
      <w:pPr>
        <w:pStyle w:val="ListParagraph"/>
        <w:numPr>
          <w:ilvl w:val="0"/>
          <w:numId w:val="5"/>
        </w:numPr>
        <w:rPr>
          <w:rFonts w:ascii="Segoe UI" w:hAnsi="Segoe UI" w:cs="Segoe UI"/>
          <w:sz w:val="20"/>
          <w:szCs w:val="20"/>
        </w:rPr>
      </w:pPr>
      <w:r w:rsidRPr="002B5715">
        <w:rPr>
          <w:rFonts w:ascii="Segoe UI" w:hAnsi="Segoe UI" w:cs="Segoe UI"/>
          <w:sz w:val="20"/>
          <w:szCs w:val="20"/>
        </w:rPr>
        <w:t>GAB s</w:t>
      </w:r>
      <w:r w:rsidR="00A04862" w:rsidRPr="002B5715">
        <w:rPr>
          <w:rFonts w:ascii="Segoe UI" w:hAnsi="Segoe UI" w:cs="Segoe UI"/>
          <w:sz w:val="20"/>
          <w:szCs w:val="20"/>
        </w:rPr>
        <w:t>prings</w:t>
      </w:r>
      <w:r w:rsidRPr="002B5715">
        <w:rPr>
          <w:rFonts w:ascii="Segoe UI" w:hAnsi="Segoe UI" w:cs="Segoe UI"/>
          <w:sz w:val="20"/>
          <w:szCs w:val="20"/>
        </w:rPr>
        <w:t xml:space="preserve"> of the Lake Eyre supergroup</w:t>
      </w:r>
      <w:r w:rsidR="00A04862" w:rsidRPr="002B5715">
        <w:rPr>
          <w:rFonts w:ascii="Segoe UI" w:hAnsi="Segoe UI" w:cs="Segoe UI"/>
          <w:sz w:val="20"/>
          <w:szCs w:val="20"/>
        </w:rPr>
        <w:t xml:space="preserve"> included</w:t>
      </w:r>
      <w:r w:rsidR="002B5715" w:rsidRPr="002B5715">
        <w:rPr>
          <w:rFonts w:ascii="Segoe UI" w:hAnsi="Segoe UI" w:cs="Segoe UI"/>
          <w:sz w:val="20"/>
          <w:szCs w:val="20"/>
        </w:rPr>
        <w:t xml:space="preserve"> </w:t>
      </w:r>
      <w:r w:rsidR="00A04862" w:rsidRPr="002B5715">
        <w:rPr>
          <w:rFonts w:ascii="Segoe UI" w:hAnsi="Segoe UI" w:cs="Segoe UI"/>
          <w:sz w:val="20"/>
          <w:szCs w:val="20"/>
        </w:rPr>
        <w:t xml:space="preserve">with a 5km buffer </w:t>
      </w:r>
      <w:r w:rsidRPr="002B5715">
        <w:rPr>
          <w:rFonts w:ascii="Segoe UI" w:hAnsi="Segoe UI" w:cs="Segoe UI"/>
          <w:sz w:val="20"/>
          <w:szCs w:val="20"/>
        </w:rPr>
        <w:t>around the point location to accommodate the extensive wetland and terrestrial ecosystems the spring support</w:t>
      </w:r>
      <w:r w:rsidR="002B5715" w:rsidRPr="002B5715">
        <w:rPr>
          <w:rFonts w:ascii="Segoe UI" w:hAnsi="Segoe UI" w:cs="Segoe UI"/>
          <w:sz w:val="20"/>
          <w:szCs w:val="20"/>
        </w:rPr>
        <w:t>. It is</w:t>
      </w:r>
      <w:r w:rsidRPr="002B5715">
        <w:rPr>
          <w:rFonts w:ascii="Segoe UI" w:hAnsi="Segoe UI" w:cs="Segoe UI"/>
          <w:sz w:val="20"/>
          <w:szCs w:val="20"/>
        </w:rPr>
        <w:t xml:space="preserve"> not</w:t>
      </w:r>
      <w:r w:rsidR="002B5715" w:rsidRPr="002B5715">
        <w:rPr>
          <w:rFonts w:ascii="Segoe UI" w:hAnsi="Segoe UI" w:cs="Segoe UI"/>
          <w:sz w:val="20"/>
          <w:szCs w:val="20"/>
        </w:rPr>
        <w:t>ed</w:t>
      </w:r>
      <w:r w:rsidRPr="002B5715">
        <w:rPr>
          <w:rFonts w:ascii="Segoe UI" w:hAnsi="Segoe UI" w:cs="Segoe UI"/>
          <w:sz w:val="20"/>
          <w:szCs w:val="20"/>
        </w:rPr>
        <w:t xml:space="preserve"> that the impacts of drawdown on pressures would reduce further from the coal resource but recognising that there may be ecological dependencies between the springs.</w:t>
      </w:r>
    </w:p>
    <w:p w14:paraId="299B4742" w14:textId="253ABE2C" w:rsidR="00A04862" w:rsidRPr="00F66774" w:rsidRDefault="00A04862" w:rsidP="00A04862">
      <w:pPr>
        <w:pStyle w:val="ListParagraph"/>
        <w:numPr>
          <w:ilvl w:val="0"/>
          <w:numId w:val="5"/>
        </w:numPr>
        <w:rPr>
          <w:rFonts w:ascii="Segoe UI" w:hAnsi="Segoe UI" w:cs="Segoe UI"/>
          <w:sz w:val="20"/>
          <w:szCs w:val="20"/>
        </w:rPr>
      </w:pPr>
      <w:r w:rsidRPr="00F66774">
        <w:rPr>
          <w:rFonts w:ascii="Segoe UI" w:hAnsi="Segoe UI" w:cs="Segoe UI"/>
          <w:sz w:val="20"/>
          <w:szCs w:val="20"/>
        </w:rPr>
        <w:lastRenderedPageBreak/>
        <w:t xml:space="preserve">PAE along </w:t>
      </w:r>
      <w:r w:rsidR="004B167B" w:rsidRPr="00F66774">
        <w:rPr>
          <w:rFonts w:ascii="Segoe UI" w:hAnsi="Segoe UI" w:cs="Segoe UI"/>
          <w:sz w:val="20"/>
          <w:szCs w:val="20"/>
        </w:rPr>
        <w:t>south-</w:t>
      </w:r>
      <w:r w:rsidRPr="00F66774">
        <w:rPr>
          <w:rFonts w:ascii="Segoe UI" w:hAnsi="Segoe UI" w:cs="Segoe UI"/>
          <w:sz w:val="20"/>
          <w:szCs w:val="20"/>
        </w:rPr>
        <w:t xml:space="preserve">western boundary of Arckaringa Basin based upon extent of drawn down from coal beds with limited groundwater knowledge. </w:t>
      </w:r>
      <w:r w:rsidR="004B167B" w:rsidRPr="00F66774">
        <w:rPr>
          <w:rFonts w:ascii="Segoe UI" w:hAnsi="Segoe UI" w:cs="Segoe UI"/>
          <w:sz w:val="20"/>
          <w:szCs w:val="20"/>
        </w:rPr>
        <w:t>W</w:t>
      </w:r>
      <w:r w:rsidR="00781B1E" w:rsidRPr="00F66774">
        <w:rPr>
          <w:rFonts w:ascii="Segoe UI" w:hAnsi="Segoe UI" w:cs="Segoe UI"/>
          <w:sz w:val="20"/>
          <w:szCs w:val="20"/>
        </w:rPr>
        <w:t>estern boundary excluded based on absence of GAB groundwater</w:t>
      </w:r>
      <w:r w:rsidR="004B167B" w:rsidRPr="00F66774">
        <w:rPr>
          <w:rFonts w:ascii="Segoe UI" w:hAnsi="Segoe UI" w:cs="Segoe UI"/>
          <w:sz w:val="20"/>
          <w:szCs w:val="20"/>
        </w:rPr>
        <w:t>.</w:t>
      </w:r>
    </w:p>
    <w:p w14:paraId="455EDE6C" w14:textId="77777777" w:rsidR="003A4F19" w:rsidRPr="00F66774" w:rsidRDefault="004B167B" w:rsidP="003A4F19">
      <w:pPr>
        <w:pStyle w:val="ListParagraph"/>
        <w:numPr>
          <w:ilvl w:val="0"/>
          <w:numId w:val="10"/>
        </w:numPr>
        <w:spacing w:after="200" w:line="276" w:lineRule="auto"/>
        <w:rPr>
          <w:rFonts w:ascii="Segoe UI" w:hAnsi="Segoe UI" w:cs="Segoe UI"/>
          <w:sz w:val="20"/>
          <w:szCs w:val="20"/>
        </w:rPr>
      </w:pPr>
      <w:r w:rsidRPr="00F66774">
        <w:rPr>
          <w:rFonts w:ascii="Segoe UI" w:hAnsi="Segoe UI" w:cs="Segoe UI"/>
          <w:sz w:val="20"/>
          <w:szCs w:val="20"/>
        </w:rPr>
        <w:t>A potentiometric surface has been generated for the GAB aquifer (Cadna-owie Formation – Algebuckina Sandstone and equivalents) for the SA and NT portions of the GAB.</w:t>
      </w:r>
      <w:r w:rsidR="003A4F19" w:rsidRPr="00F66774">
        <w:rPr>
          <w:rFonts w:ascii="Segoe UI" w:hAnsi="Segoe UI" w:cs="Segoe UI"/>
          <w:sz w:val="20"/>
          <w:szCs w:val="20"/>
        </w:rPr>
        <w:t xml:space="preserve"> </w:t>
      </w:r>
    </w:p>
    <w:p w14:paraId="5D889DF1" w14:textId="2C62482A" w:rsidR="003A4F19" w:rsidRPr="00F66774" w:rsidRDefault="003A4F19" w:rsidP="003A4F19">
      <w:pPr>
        <w:pStyle w:val="ListParagraph"/>
        <w:numPr>
          <w:ilvl w:val="0"/>
          <w:numId w:val="10"/>
        </w:numPr>
        <w:spacing w:after="200" w:line="276" w:lineRule="auto"/>
        <w:rPr>
          <w:rFonts w:ascii="Segoe UI" w:hAnsi="Segoe UI" w:cs="Segoe UI"/>
          <w:sz w:val="20"/>
          <w:szCs w:val="20"/>
        </w:rPr>
      </w:pPr>
      <w:r w:rsidRPr="00F66774">
        <w:rPr>
          <w:rFonts w:ascii="Segoe UI" w:hAnsi="Segoe UI" w:cs="Segoe UI"/>
          <w:sz w:val="20"/>
          <w:szCs w:val="20"/>
        </w:rPr>
        <w:t>Coal Beds outside of Arc</w:t>
      </w:r>
      <w:r w:rsidR="001F49DB">
        <w:rPr>
          <w:rFonts w:ascii="Segoe UI" w:hAnsi="Segoe UI" w:cs="Segoe UI"/>
          <w:sz w:val="20"/>
          <w:szCs w:val="20"/>
        </w:rPr>
        <w:t>k</w:t>
      </w:r>
      <w:r w:rsidRPr="00F66774">
        <w:rPr>
          <w:rFonts w:ascii="Segoe UI" w:hAnsi="Segoe UI" w:cs="Segoe UI"/>
          <w:sz w:val="20"/>
          <w:szCs w:val="20"/>
        </w:rPr>
        <w:t>aringa Geological Basin are excluded.</w:t>
      </w:r>
    </w:p>
    <w:p w14:paraId="1FC887CD" w14:textId="77777777" w:rsidR="00DC5ABB" w:rsidRDefault="003A4F19" w:rsidP="00DC5ABB">
      <w:pPr>
        <w:pStyle w:val="ListParagraph"/>
        <w:numPr>
          <w:ilvl w:val="0"/>
          <w:numId w:val="10"/>
        </w:numPr>
        <w:spacing w:after="200" w:line="276" w:lineRule="auto"/>
        <w:rPr>
          <w:rFonts w:ascii="Segoe UI" w:hAnsi="Segoe UI" w:cs="Segoe UI"/>
          <w:sz w:val="20"/>
          <w:szCs w:val="20"/>
        </w:rPr>
      </w:pPr>
      <w:r w:rsidRPr="00F66774">
        <w:rPr>
          <w:rFonts w:ascii="Segoe UI" w:hAnsi="Segoe UI" w:cs="Segoe UI"/>
          <w:sz w:val="20"/>
          <w:szCs w:val="20"/>
        </w:rPr>
        <w:t xml:space="preserve">5km buffer around GAB springs (GAB Springs Database) has been smoothed where appropriate. </w:t>
      </w:r>
    </w:p>
    <w:p w14:paraId="2C435E81" w14:textId="061135B6" w:rsidR="00A04862" w:rsidRPr="00A04862" w:rsidRDefault="00A04862" w:rsidP="00DC5ABB">
      <w:pPr>
        <w:pStyle w:val="ListParagraph"/>
        <w:numPr>
          <w:ilvl w:val="0"/>
          <w:numId w:val="10"/>
        </w:numPr>
        <w:spacing w:after="200" w:line="276" w:lineRule="auto"/>
        <w:rPr>
          <w:rFonts w:ascii="Segoe UI" w:hAnsi="Segoe UI" w:cs="Segoe UI"/>
          <w:sz w:val="20"/>
          <w:szCs w:val="20"/>
        </w:rPr>
      </w:pPr>
      <w:r w:rsidRPr="00A04862">
        <w:rPr>
          <w:rFonts w:ascii="Segoe UI" w:hAnsi="Segoe UI" w:cs="Segoe UI"/>
          <w:sz w:val="20"/>
          <w:szCs w:val="20"/>
        </w:rPr>
        <w:t>Dry areas of the GAB were excluded</w:t>
      </w:r>
      <w:r w:rsidR="00DC5ABB">
        <w:rPr>
          <w:rFonts w:ascii="Segoe UI" w:hAnsi="Segoe UI" w:cs="Segoe UI"/>
          <w:sz w:val="20"/>
          <w:szCs w:val="20"/>
        </w:rPr>
        <w:t xml:space="preserve"> as</w:t>
      </w:r>
      <w:r w:rsidRPr="00A04862">
        <w:rPr>
          <w:rFonts w:ascii="Segoe UI" w:hAnsi="Segoe UI" w:cs="Segoe UI"/>
          <w:sz w:val="20"/>
          <w:szCs w:val="20"/>
        </w:rPr>
        <w:t xml:space="preserve"> </w:t>
      </w:r>
      <w:r w:rsidR="00781B1E">
        <w:rPr>
          <w:rFonts w:ascii="Segoe UI" w:hAnsi="Segoe UI" w:cs="Segoe UI"/>
          <w:sz w:val="20"/>
          <w:szCs w:val="20"/>
        </w:rPr>
        <w:t>these areas do not have surface water connections with lease areas</w:t>
      </w:r>
      <w:r w:rsidR="0099001E">
        <w:rPr>
          <w:rFonts w:ascii="Segoe UI" w:hAnsi="Segoe UI" w:cs="Segoe UI"/>
          <w:sz w:val="20"/>
          <w:szCs w:val="20"/>
        </w:rPr>
        <w:t>.</w:t>
      </w:r>
    </w:p>
    <w:p w14:paraId="2F8D50CF" w14:textId="5CD95806" w:rsidR="00A04862" w:rsidRPr="00A04862" w:rsidRDefault="00A04862" w:rsidP="00A04862">
      <w:pPr>
        <w:pStyle w:val="ListParagraph"/>
        <w:numPr>
          <w:ilvl w:val="0"/>
          <w:numId w:val="5"/>
        </w:numPr>
        <w:rPr>
          <w:rFonts w:ascii="Segoe UI" w:hAnsi="Segoe UI" w:cs="Segoe UI"/>
          <w:sz w:val="20"/>
          <w:szCs w:val="20"/>
        </w:rPr>
      </w:pPr>
      <w:r w:rsidRPr="00A04862">
        <w:rPr>
          <w:rFonts w:ascii="Segoe UI" w:hAnsi="Segoe UI" w:cs="Segoe UI"/>
          <w:sz w:val="20"/>
          <w:szCs w:val="20"/>
        </w:rPr>
        <w:t>Potential for mining related water diversions excluded from the assessment</w:t>
      </w:r>
      <w:r w:rsidR="0099001E">
        <w:rPr>
          <w:rFonts w:ascii="Segoe UI" w:hAnsi="Segoe UI" w:cs="Segoe UI"/>
          <w:sz w:val="20"/>
          <w:szCs w:val="20"/>
        </w:rPr>
        <w:t>.</w:t>
      </w:r>
      <w:r w:rsidRPr="00A04862">
        <w:rPr>
          <w:rFonts w:ascii="Segoe UI" w:hAnsi="Segoe UI" w:cs="Segoe UI"/>
          <w:sz w:val="20"/>
          <w:szCs w:val="20"/>
        </w:rPr>
        <w:t xml:space="preserve"> </w:t>
      </w:r>
    </w:p>
    <w:p w14:paraId="5B61D5C9" w14:textId="5D4630ED" w:rsidR="00A04862" w:rsidRDefault="00A04862" w:rsidP="00A04862">
      <w:pPr>
        <w:pStyle w:val="ListParagraph"/>
        <w:numPr>
          <w:ilvl w:val="0"/>
          <w:numId w:val="5"/>
        </w:numPr>
        <w:rPr>
          <w:rFonts w:ascii="Segoe UI" w:hAnsi="Segoe UI" w:cs="Segoe UI"/>
          <w:sz w:val="20"/>
          <w:szCs w:val="20"/>
        </w:rPr>
      </w:pPr>
      <w:r w:rsidRPr="00A04862">
        <w:rPr>
          <w:rFonts w:ascii="Segoe UI" w:hAnsi="Segoe UI" w:cs="Segoe UI"/>
          <w:sz w:val="20"/>
          <w:szCs w:val="20"/>
        </w:rPr>
        <w:t xml:space="preserve">Upstream watercourses </w:t>
      </w:r>
      <w:r w:rsidR="004C3DC4">
        <w:rPr>
          <w:rFonts w:ascii="Segoe UI" w:hAnsi="Segoe UI" w:cs="Segoe UI"/>
          <w:sz w:val="20"/>
          <w:szCs w:val="20"/>
        </w:rPr>
        <w:t xml:space="preserve">would be </w:t>
      </w:r>
      <w:r w:rsidRPr="00A04862">
        <w:rPr>
          <w:rFonts w:ascii="Segoe UI" w:hAnsi="Segoe UI" w:cs="Segoe UI"/>
          <w:sz w:val="20"/>
          <w:szCs w:val="20"/>
        </w:rPr>
        <w:t xml:space="preserve">excluded where no direct link from mining, where </w:t>
      </w:r>
      <w:r w:rsidR="004C3DC4">
        <w:rPr>
          <w:rFonts w:ascii="Segoe UI" w:hAnsi="Segoe UI" w:cs="Segoe UI"/>
          <w:sz w:val="20"/>
          <w:szCs w:val="20"/>
        </w:rPr>
        <w:t xml:space="preserve">outside </w:t>
      </w:r>
      <w:r w:rsidR="00DC5ABB">
        <w:rPr>
          <w:rFonts w:ascii="Segoe UI" w:hAnsi="Segoe UI" w:cs="Segoe UI"/>
          <w:sz w:val="20"/>
          <w:szCs w:val="20"/>
        </w:rPr>
        <w:t xml:space="preserve">the </w:t>
      </w:r>
      <w:r w:rsidRPr="00A04862">
        <w:rPr>
          <w:rFonts w:ascii="Segoe UI" w:hAnsi="Segoe UI" w:cs="Segoe UI"/>
          <w:sz w:val="20"/>
          <w:szCs w:val="20"/>
        </w:rPr>
        <w:t>extent of drawdown</w:t>
      </w:r>
      <w:r w:rsidR="0099001E">
        <w:rPr>
          <w:rFonts w:ascii="Segoe UI" w:hAnsi="Segoe UI" w:cs="Segoe UI"/>
          <w:sz w:val="20"/>
          <w:szCs w:val="20"/>
        </w:rPr>
        <w:t>.</w:t>
      </w:r>
    </w:p>
    <w:p w14:paraId="53536FE3" w14:textId="00918DD1" w:rsidR="00781B1E" w:rsidRPr="00A04862" w:rsidRDefault="00781B1E" w:rsidP="00A04862">
      <w:pPr>
        <w:pStyle w:val="ListParagraph"/>
        <w:numPr>
          <w:ilvl w:val="0"/>
          <w:numId w:val="5"/>
        </w:numPr>
        <w:rPr>
          <w:rFonts w:ascii="Segoe UI" w:hAnsi="Segoe UI" w:cs="Segoe UI"/>
          <w:sz w:val="20"/>
          <w:szCs w:val="20"/>
        </w:rPr>
      </w:pPr>
      <w:r>
        <w:rPr>
          <w:rFonts w:ascii="Segoe UI" w:hAnsi="Segoe UI" w:cs="Segoe UI"/>
          <w:sz w:val="20"/>
          <w:szCs w:val="20"/>
        </w:rPr>
        <w:t>That the alluvial groundwater systems are not connected to the GAB (see data gaps below)</w:t>
      </w:r>
      <w:r w:rsidR="0099001E">
        <w:rPr>
          <w:rFonts w:ascii="Segoe UI" w:hAnsi="Segoe UI" w:cs="Segoe UI"/>
          <w:sz w:val="20"/>
          <w:szCs w:val="20"/>
        </w:rPr>
        <w:t>.</w:t>
      </w:r>
    </w:p>
    <w:p w14:paraId="479F2277" w14:textId="77777777" w:rsidR="00A04862" w:rsidRDefault="00A04862" w:rsidP="00A04862">
      <w:pPr>
        <w:pStyle w:val="Heading4"/>
        <w:rPr>
          <w:rFonts w:ascii="Segoe UI" w:hAnsi="Segoe UI" w:cs="Segoe UI"/>
          <w:sz w:val="20"/>
          <w:szCs w:val="20"/>
        </w:rPr>
      </w:pPr>
      <w:r w:rsidRPr="00A04862">
        <w:rPr>
          <w:rFonts w:ascii="Segoe UI" w:hAnsi="Segoe UI" w:cs="Segoe UI"/>
          <w:sz w:val="20"/>
          <w:szCs w:val="20"/>
        </w:rPr>
        <w:t>Data Gaps</w:t>
      </w:r>
    </w:p>
    <w:p w14:paraId="3EF9F883" w14:textId="77777777" w:rsidR="00750389" w:rsidRPr="00A04862" w:rsidRDefault="00750389" w:rsidP="00750389">
      <w:pPr>
        <w:rPr>
          <w:rFonts w:cs="Segoe UI"/>
          <w:sz w:val="20"/>
          <w:szCs w:val="20"/>
        </w:rPr>
      </w:pPr>
      <w:r w:rsidRPr="00A04862">
        <w:rPr>
          <w:rFonts w:cs="Segoe UI"/>
          <w:sz w:val="20"/>
          <w:szCs w:val="20"/>
        </w:rPr>
        <w:t xml:space="preserve">The following data gaps existed when defining the </w:t>
      </w:r>
      <w:r>
        <w:rPr>
          <w:rFonts w:cs="Segoe UI"/>
          <w:sz w:val="20"/>
          <w:szCs w:val="20"/>
        </w:rPr>
        <w:t>Arckaringa</w:t>
      </w:r>
      <w:r w:rsidRPr="00A04862">
        <w:rPr>
          <w:rFonts w:cs="Segoe UI"/>
          <w:sz w:val="20"/>
          <w:szCs w:val="20"/>
        </w:rPr>
        <w:t xml:space="preserve"> PAE</w:t>
      </w:r>
      <w:r>
        <w:rPr>
          <w:rFonts w:cs="Segoe UI"/>
          <w:sz w:val="20"/>
          <w:szCs w:val="20"/>
        </w:rPr>
        <w:t>:</w:t>
      </w:r>
    </w:p>
    <w:p w14:paraId="1C958C5F" w14:textId="77777777" w:rsidR="00A36803" w:rsidRPr="00A04862" w:rsidRDefault="00A36803" w:rsidP="00A36803">
      <w:pPr>
        <w:pStyle w:val="ListParagraph"/>
        <w:numPr>
          <w:ilvl w:val="0"/>
          <w:numId w:val="5"/>
        </w:numPr>
        <w:rPr>
          <w:rFonts w:ascii="Segoe UI" w:hAnsi="Segoe UI" w:cs="Segoe UI"/>
          <w:sz w:val="20"/>
          <w:szCs w:val="20"/>
        </w:rPr>
      </w:pPr>
      <w:r>
        <w:rPr>
          <w:rFonts w:ascii="Segoe UI" w:hAnsi="Segoe UI" w:cs="Segoe UI"/>
          <w:sz w:val="20"/>
          <w:szCs w:val="20"/>
        </w:rPr>
        <w:t>Groundwater model (Class 1) of the Arckaringa Basin is being conceptualised. Modelling expected to be completed by June 2014.</w:t>
      </w:r>
    </w:p>
    <w:p w14:paraId="16BF85CB" w14:textId="77777777" w:rsidR="00A04862" w:rsidRPr="00A04862" w:rsidRDefault="00A04862" w:rsidP="00A04862">
      <w:pPr>
        <w:pStyle w:val="ListParagraph"/>
        <w:numPr>
          <w:ilvl w:val="0"/>
          <w:numId w:val="5"/>
        </w:numPr>
        <w:rPr>
          <w:rFonts w:ascii="Segoe UI" w:hAnsi="Segoe UI" w:cs="Segoe UI"/>
          <w:sz w:val="20"/>
          <w:szCs w:val="20"/>
        </w:rPr>
      </w:pPr>
      <w:r w:rsidRPr="00A04862">
        <w:rPr>
          <w:rFonts w:ascii="Segoe UI" w:hAnsi="Segoe UI" w:cs="Segoe UI"/>
          <w:sz w:val="20"/>
          <w:szCs w:val="20"/>
        </w:rPr>
        <w:t>Information gaps exist to define relationships between alluvial groundwater and GAB (at the far extent of the drawdo</w:t>
      </w:r>
      <w:r w:rsidR="00750389">
        <w:rPr>
          <w:rFonts w:ascii="Segoe UI" w:hAnsi="Segoe UI" w:cs="Segoe UI"/>
          <w:sz w:val="20"/>
          <w:szCs w:val="20"/>
        </w:rPr>
        <w:t>wn zone of influence).</w:t>
      </w:r>
    </w:p>
    <w:p w14:paraId="4C7C8C2B" w14:textId="77777777" w:rsidR="00A04862" w:rsidRPr="00A04862" w:rsidRDefault="00A04862" w:rsidP="00A04862">
      <w:pPr>
        <w:pStyle w:val="ListParagraph"/>
        <w:numPr>
          <w:ilvl w:val="0"/>
          <w:numId w:val="5"/>
        </w:numPr>
        <w:rPr>
          <w:rFonts w:ascii="Segoe UI" w:hAnsi="Segoe UI" w:cs="Segoe UI"/>
          <w:sz w:val="20"/>
          <w:szCs w:val="20"/>
        </w:rPr>
      </w:pPr>
      <w:r w:rsidRPr="00A04862">
        <w:rPr>
          <w:rFonts w:ascii="Segoe UI" w:hAnsi="Segoe UI" w:cs="Segoe UI"/>
          <w:sz w:val="20"/>
          <w:szCs w:val="20"/>
        </w:rPr>
        <w:t>Further refinement is required where overlaps with Stuart Shelf occurs, noting that BHP Billiton modelling undertaken as part of the proposed Olympic Dam expansion Project identified a large cone of depression and impact of groundwater flow to Stuart shelf.</w:t>
      </w:r>
    </w:p>
    <w:p w14:paraId="0573D059" w14:textId="77777777" w:rsidR="00A04862" w:rsidRDefault="00A04862" w:rsidP="00750389">
      <w:pPr>
        <w:pStyle w:val="Heading3"/>
      </w:pPr>
      <w:bookmarkStart w:id="11" w:name="_Toc394076582"/>
      <w:r w:rsidRPr="00A04862">
        <w:t>Pedirka</w:t>
      </w:r>
      <w:bookmarkEnd w:id="11"/>
    </w:p>
    <w:p w14:paraId="3D3F1A96" w14:textId="45082993" w:rsidR="00E4159F" w:rsidRPr="00F66774" w:rsidRDefault="00E4159F" w:rsidP="00E4159F">
      <w:pPr>
        <w:rPr>
          <w:rFonts w:cs="Segoe UI"/>
          <w:sz w:val="20"/>
          <w:szCs w:val="20"/>
        </w:rPr>
      </w:pPr>
      <w:r w:rsidRPr="00F66774">
        <w:rPr>
          <w:rFonts w:cs="Segoe UI"/>
          <w:sz w:val="20"/>
          <w:szCs w:val="20"/>
        </w:rPr>
        <w:t xml:space="preserve">The following </w:t>
      </w:r>
      <w:r>
        <w:rPr>
          <w:rFonts w:cs="Segoe UI"/>
          <w:sz w:val="20"/>
          <w:szCs w:val="20"/>
        </w:rPr>
        <w:t xml:space="preserve">methodology was followed </w:t>
      </w:r>
      <w:r w:rsidRPr="00F66774">
        <w:rPr>
          <w:rFonts w:cs="Segoe UI"/>
          <w:sz w:val="20"/>
          <w:szCs w:val="20"/>
        </w:rPr>
        <w:t xml:space="preserve">to formulate the </w:t>
      </w:r>
      <w:r>
        <w:rPr>
          <w:rFonts w:cs="Segoe UI"/>
          <w:sz w:val="20"/>
          <w:szCs w:val="20"/>
        </w:rPr>
        <w:t>Pedirka</w:t>
      </w:r>
      <w:r w:rsidRPr="00F66774">
        <w:rPr>
          <w:rFonts w:cs="Segoe UI"/>
          <w:sz w:val="20"/>
          <w:szCs w:val="20"/>
        </w:rPr>
        <w:t xml:space="preserve"> PAE:</w:t>
      </w:r>
    </w:p>
    <w:p w14:paraId="0C577D30" w14:textId="75FC2AC5" w:rsidR="00E4159F" w:rsidRPr="0099001E" w:rsidRDefault="00E4159F" w:rsidP="00E4159F">
      <w:pPr>
        <w:pStyle w:val="ListParagraph"/>
        <w:numPr>
          <w:ilvl w:val="0"/>
          <w:numId w:val="5"/>
        </w:numPr>
        <w:rPr>
          <w:rFonts w:ascii="Segoe UI" w:hAnsi="Segoe UI" w:cs="Segoe UI"/>
          <w:sz w:val="20"/>
          <w:szCs w:val="20"/>
        </w:rPr>
      </w:pPr>
      <w:r w:rsidRPr="00D35A85">
        <w:rPr>
          <w:rFonts w:ascii="Segoe UI" w:hAnsi="Segoe UI" w:cs="Segoe UI"/>
          <w:sz w:val="20"/>
          <w:szCs w:val="20"/>
        </w:rPr>
        <w:t>Inferred 2</w:t>
      </w:r>
      <w:r w:rsidR="00387BDF">
        <w:rPr>
          <w:rFonts w:ascii="Segoe UI" w:hAnsi="Segoe UI" w:cs="Segoe UI"/>
          <w:sz w:val="20"/>
          <w:szCs w:val="20"/>
        </w:rPr>
        <w:t>1</w:t>
      </w:r>
      <w:r w:rsidRPr="00D35A85">
        <w:rPr>
          <w:rFonts w:ascii="Segoe UI" w:hAnsi="Segoe UI" w:cs="Segoe UI"/>
          <w:sz w:val="20"/>
          <w:szCs w:val="20"/>
        </w:rPr>
        <w:t>0km groundwater</w:t>
      </w:r>
      <w:r w:rsidRPr="00F66774">
        <w:rPr>
          <w:rFonts w:ascii="Segoe UI" w:hAnsi="Segoe UI" w:cs="Segoe UI"/>
          <w:sz w:val="20"/>
          <w:szCs w:val="20"/>
        </w:rPr>
        <w:t xml:space="preserve"> drawdown extent assumes </w:t>
      </w:r>
      <w:r>
        <w:rPr>
          <w:rFonts w:ascii="Segoe UI" w:hAnsi="Segoe UI" w:cs="Segoe UI"/>
          <w:sz w:val="20"/>
          <w:szCs w:val="20"/>
        </w:rPr>
        <w:t>potential for up to 5</w:t>
      </w:r>
      <w:r w:rsidRPr="00F66774">
        <w:rPr>
          <w:rFonts w:ascii="Segoe UI" w:hAnsi="Segoe UI" w:cs="Segoe UI"/>
          <w:sz w:val="20"/>
          <w:szCs w:val="20"/>
        </w:rPr>
        <w:t>0 year LOM and large scale mining operations</w:t>
      </w:r>
      <w:r>
        <w:rPr>
          <w:rFonts w:ascii="Segoe UI" w:hAnsi="Segoe UI" w:cs="Segoe UI"/>
          <w:sz w:val="20"/>
          <w:szCs w:val="20"/>
        </w:rPr>
        <w:t xml:space="preserve"> from DEWNR modelling undertaken in the</w:t>
      </w:r>
      <w:r w:rsidRPr="001360F4">
        <w:rPr>
          <w:rFonts w:ascii="Segoe UI" w:hAnsi="Segoe UI" w:cs="Segoe UI"/>
          <w:sz w:val="20"/>
          <w:szCs w:val="20"/>
        </w:rPr>
        <w:t xml:space="preserve"> Pedirka </w:t>
      </w:r>
      <w:r>
        <w:rPr>
          <w:rFonts w:ascii="Segoe UI" w:hAnsi="Segoe UI" w:cs="Segoe UI"/>
          <w:sz w:val="20"/>
          <w:szCs w:val="20"/>
        </w:rPr>
        <w:t xml:space="preserve">subregion </w:t>
      </w:r>
      <w:r w:rsidRPr="001360F4">
        <w:rPr>
          <w:rFonts w:ascii="Segoe UI" w:hAnsi="Segoe UI" w:cs="Segoe UI"/>
          <w:sz w:val="20"/>
          <w:szCs w:val="20"/>
        </w:rPr>
        <w:t xml:space="preserve">for the Eromanga </w:t>
      </w:r>
      <w:r>
        <w:rPr>
          <w:rFonts w:ascii="Segoe UI" w:hAnsi="Segoe UI" w:cs="Segoe UI"/>
          <w:sz w:val="20"/>
          <w:szCs w:val="20"/>
        </w:rPr>
        <w:t xml:space="preserve">Basin </w:t>
      </w:r>
      <w:r w:rsidRPr="001360F4">
        <w:rPr>
          <w:rFonts w:ascii="Segoe UI" w:hAnsi="Segoe UI" w:cs="Segoe UI"/>
          <w:sz w:val="20"/>
          <w:szCs w:val="20"/>
        </w:rPr>
        <w:t>based upon around 400ML/day</w:t>
      </w:r>
      <w:r>
        <w:rPr>
          <w:rFonts w:ascii="Segoe UI" w:hAnsi="Segoe UI" w:cs="Segoe UI"/>
          <w:sz w:val="20"/>
          <w:szCs w:val="20"/>
        </w:rPr>
        <w:t xml:space="preserve"> over 50 years to 1m drawdown</w:t>
      </w:r>
      <w:r w:rsidRPr="001360F4">
        <w:rPr>
          <w:rFonts w:ascii="Segoe UI" w:hAnsi="Segoe UI" w:cs="Segoe UI"/>
          <w:sz w:val="20"/>
          <w:szCs w:val="20"/>
        </w:rPr>
        <w:t>.</w:t>
      </w:r>
    </w:p>
    <w:p w14:paraId="5D43800C" w14:textId="13512CA7" w:rsidR="00007B39" w:rsidRPr="00D35A85" w:rsidRDefault="00D35A85" w:rsidP="00007B39">
      <w:pPr>
        <w:pStyle w:val="ListParagraph"/>
        <w:numPr>
          <w:ilvl w:val="0"/>
          <w:numId w:val="5"/>
        </w:numPr>
        <w:rPr>
          <w:rFonts w:ascii="Segoe UI" w:hAnsi="Segoe UI" w:cs="Segoe UI"/>
          <w:sz w:val="20"/>
          <w:szCs w:val="20"/>
        </w:rPr>
      </w:pPr>
      <w:r w:rsidRPr="00D35A85">
        <w:rPr>
          <w:rFonts w:ascii="Segoe UI" w:hAnsi="Segoe UI" w:cs="Segoe UI"/>
          <w:sz w:val="20"/>
          <w:szCs w:val="20"/>
        </w:rPr>
        <w:t>Westerly</w:t>
      </w:r>
      <w:r w:rsidR="00007B39" w:rsidRPr="00D35A85">
        <w:rPr>
          <w:rFonts w:ascii="Segoe UI" w:hAnsi="Segoe UI" w:cs="Segoe UI"/>
          <w:sz w:val="20"/>
          <w:szCs w:val="20"/>
        </w:rPr>
        <w:t xml:space="preserve"> and southern boundaries follow the Great Artesian Basin (GAB) and Arckaringa Basin boundaries taking the further boundary from coal beds to identify potential groundwater connectivity. </w:t>
      </w:r>
    </w:p>
    <w:p w14:paraId="4BB731E0" w14:textId="77777777" w:rsidR="00A46CCB" w:rsidRPr="00F66774" w:rsidRDefault="00A46CCB" w:rsidP="00A46CCB">
      <w:pPr>
        <w:pStyle w:val="ListParagraph"/>
        <w:numPr>
          <w:ilvl w:val="0"/>
          <w:numId w:val="5"/>
        </w:numPr>
        <w:rPr>
          <w:rFonts w:ascii="Segoe UI" w:hAnsi="Segoe UI" w:cs="Segoe UI"/>
          <w:sz w:val="20"/>
          <w:szCs w:val="20"/>
        </w:rPr>
      </w:pPr>
      <w:r w:rsidRPr="00F66774">
        <w:rPr>
          <w:rFonts w:ascii="Segoe UI" w:hAnsi="Segoe UI" w:cs="Segoe UI"/>
          <w:sz w:val="20"/>
          <w:szCs w:val="20"/>
        </w:rPr>
        <w:t>Pedirka basin boundary (DEWNR Dataset)</w:t>
      </w:r>
      <w:r w:rsidR="00714C18" w:rsidRPr="00F66774">
        <w:rPr>
          <w:rFonts w:ascii="Segoe UI" w:hAnsi="Segoe UI" w:cs="Segoe UI"/>
          <w:sz w:val="20"/>
          <w:szCs w:val="20"/>
        </w:rPr>
        <w:t>.</w:t>
      </w:r>
    </w:p>
    <w:p w14:paraId="6D178536" w14:textId="77777777" w:rsidR="00387BDF" w:rsidRPr="00D35A85" w:rsidRDefault="00387BDF" w:rsidP="00387BDF">
      <w:pPr>
        <w:pStyle w:val="ListParagraph"/>
        <w:numPr>
          <w:ilvl w:val="0"/>
          <w:numId w:val="5"/>
        </w:numPr>
        <w:rPr>
          <w:rFonts w:ascii="Segoe UI" w:hAnsi="Segoe UI" w:cs="Segoe UI"/>
          <w:sz w:val="20"/>
          <w:szCs w:val="20"/>
        </w:rPr>
      </w:pPr>
      <w:r>
        <w:rPr>
          <w:rFonts w:ascii="Segoe UI" w:hAnsi="Segoe UI" w:cs="Segoe UI"/>
          <w:sz w:val="20"/>
          <w:szCs w:val="20"/>
        </w:rPr>
        <w:t xml:space="preserve">10 km buffer included where PAE intersects with fractured rock aquifer (FRA) extents. </w:t>
      </w:r>
    </w:p>
    <w:p w14:paraId="4E01476D" w14:textId="77777777" w:rsidR="00A46CCB" w:rsidRPr="00F66774" w:rsidRDefault="00A46CCB" w:rsidP="00A46CCB">
      <w:pPr>
        <w:pStyle w:val="ListParagraph"/>
        <w:numPr>
          <w:ilvl w:val="0"/>
          <w:numId w:val="5"/>
        </w:numPr>
        <w:rPr>
          <w:rFonts w:ascii="Segoe UI" w:hAnsi="Segoe UI" w:cs="Segoe UI"/>
          <w:sz w:val="20"/>
          <w:szCs w:val="20"/>
        </w:rPr>
      </w:pPr>
      <w:r w:rsidRPr="00F66774">
        <w:rPr>
          <w:rFonts w:ascii="Segoe UI" w:hAnsi="Segoe UI" w:cs="Segoe UI"/>
          <w:sz w:val="20"/>
          <w:szCs w:val="20"/>
        </w:rPr>
        <w:t>DMITRE Mapped areas of economic coal beds (Coal beds)</w:t>
      </w:r>
      <w:r w:rsidR="00714C18" w:rsidRPr="00F66774">
        <w:rPr>
          <w:rFonts w:ascii="Segoe UI" w:hAnsi="Segoe UI" w:cs="Segoe UI"/>
          <w:sz w:val="20"/>
          <w:szCs w:val="20"/>
        </w:rPr>
        <w:t>.</w:t>
      </w:r>
    </w:p>
    <w:p w14:paraId="3E1A0550" w14:textId="6D628824" w:rsidR="00ED43EB" w:rsidRDefault="00ED43EB" w:rsidP="00ED43EB">
      <w:pPr>
        <w:pStyle w:val="ListParagraph"/>
        <w:numPr>
          <w:ilvl w:val="0"/>
          <w:numId w:val="5"/>
        </w:numPr>
        <w:spacing w:after="200" w:line="276" w:lineRule="auto"/>
        <w:rPr>
          <w:rFonts w:ascii="Segoe UI" w:hAnsi="Segoe UI" w:cs="Segoe UI"/>
          <w:sz w:val="20"/>
          <w:szCs w:val="20"/>
        </w:rPr>
      </w:pPr>
      <w:r>
        <w:rPr>
          <w:rFonts w:ascii="Segoe UI" w:hAnsi="Segoe UI" w:cs="Segoe UI"/>
          <w:sz w:val="20"/>
          <w:szCs w:val="20"/>
        </w:rPr>
        <w:t xml:space="preserve">Phreatic </w:t>
      </w:r>
      <w:r w:rsidR="00C16B26">
        <w:rPr>
          <w:rFonts w:ascii="Segoe UI" w:hAnsi="Segoe UI" w:cs="Segoe UI"/>
          <w:sz w:val="20"/>
          <w:szCs w:val="20"/>
        </w:rPr>
        <w:t>surface information</w:t>
      </w:r>
      <w:r>
        <w:rPr>
          <w:rFonts w:ascii="Segoe UI" w:hAnsi="Segoe UI" w:cs="Segoe UI"/>
          <w:sz w:val="20"/>
          <w:szCs w:val="20"/>
        </w:rPr>
        <w:t xml:space="preserve"> was utilised to identify connectivity to shallow groundwater potentially utilised by vegetation, which was identified up to a 10m depth, based upon decisions made by the Bioregional Assessment team for other PAEs. </w:t>
      </w:r>
    </w:p>
    <w:p w14:paraId="074A99F8" w14:textId="77777777" w:rsidR="00ED43EB" w:rsidRPr="00F66774" w:rsidRDefault="00ED43EB" w:rsidP="00ED43EB">
      <w:pPr>
        <w:pStyle w:val="ListParagraph"/>
        <w:numPr>
          <w:ilvl w:val="0"/>
          <w:numId w:val="5"/>
        </w:numPr>
        <w:spacing w:after="200" w:line="276" w:lineRule="auto"/>
        <w:rPr>
          <w:rFonts w:ascii="Segoe UI" w:hAnsi="Segoe UI" w:cs="Segoe UI"/>
          <w:sz w:val="20"/>
          <w:szCs w:val="20"/>
        </w:rPr>
      </w:pPr>
      <w:r>
        <w:rPr>
          <w:rFonts w:ascii="Segoe UI" w:hAnsi="Segoe UI" w:cs="Segoe UI"/>
          <w:sz w:val="20"/>
          <w:szCs w:val="20"/>
        </w:rPr>
        <w:t>Tertiary sediments were excluded from consideration as a buffer to the GAB where they intersect with coal deposits as it was assumed direct impact to the tertiary sediments would occur should open cut mining activities occur.</w:t>
      </w:r>
    </w:p>
    <w:p w14:paraId="712942DC" w14:textId="6129E77A" w:rsidR="00714C18" w:rsidRPr="00F66774" w:rsidRDefault="00714C18" w:rsidP="00714C18">
      <w:pPr>
        <w:pStyle w:val="ListParagraph"/>
        <w:numPr>
          <w:ilvl w:val="0"/>
          <w:numId w:val="5"/>
        </w:numPr>
        <w:rPr>
          <w:rFonts w:ascii="Segoe UI" w:hAnsi="Segoe UI" w:cs="Segoe UI"/>
          <w:sz w:val="20"/>
          <w:szCs w:val="20"/>
        </w:rPr>
      </w:pPr>
      <w:r w:rsidRPr="00F66774">
        <w:rPr>
          <w:rFonts w:ascii="Segoe UI" w:hAnsi="Segoe UI" w:cs="Segoe UI"/>
          <w:sz w:val="20"/>
          <w:szCs w:val="20"/>
        </w:rPr>
        <w:t>Exploration Licences (EL) as lodged with DMITRE.</w:t>
      </w:r>
    </w:p>
    <w:p w14:paraId="58DC1C94" w14:textId="77777777" w:rsidR="00714C18" w:rsidRPr="00F66774" w:rsidRDefault="00714C18" w:rsidP="00714C18">
      <w:pPr>
        <w:pStyle w:val="ListParagraph"/>
        <w:numPr>
          <w:ilvl w:val="0"/>
          <w:numId w:val="5"/>
        </w:numPr>
        <w:rPr>
          <w:rFonts w:ascii="Segoe UI" w:hAnsi="Segoe UI" w:cs="Segoe UI"/>
          <w:sz w:val="20"/>
          <w:szCs w:val="20"/>
        </w:rPr>
      </w:pPr>
      <w:r w:rsidRPr="00F66774">
        <w:rPr>
          <w:rFonts w:ascii="Segoe UI" w:hAnsi="Segoe UI" w:cs="Segoe UI"/>
          <w:sz w:val="20"/>
          <w:szCs w:val="20"/>
        </w:rPr>
        <w:t>Known watercourses (surface water data) (DEWNR dataset).</w:t>
      </w:r>
    </w:p>
    <w:p w14:paraId="0F4151CE" w14:textId="5900456F" w:rsidR="00714C18" w:rsidRPr="00F66774" w:rsidRDefault="00714C18" w:rsidP="00714C18">
      <w:pPr>
        <w:pStyle w:val="ListParagraph"/>
        <w:numPr>
          <w:ilvl w:val="0"/>
          <w:numId w:val="5"/>
        </w:numPr>
        <w:rPr>
          <w:rFonts w:ascii="Segoe UI" w:hAnsi="Segoe UI" w:cs="Segoe UI"/>
          <w:sz w:val="20"/>
          <w:szCs w:val="20"/>
        </w:rPr>
      </w:pPr>
      <w:r w:rsidRPr="00F66774">
        <w:rPr>
          <w:rFonts w:ascii="Segoe UI" w:hAnsi="Segoe UI" w:cs="Segoe UI"/>
          <w:sz w:val="20"/>
          <w:szCs w:val="20"/>
        </w:rPr>
        <w:t>Surface water basins</w:t>
      </w:r>
      <w:r w:rsidR="0048567A" w:rsidRPr="00F66774">
        <w:rPr>
          <w:rFonts w:ascii="Segoe UI" w:hAnsi="Segoe UI" w:cs="Segoe UI"/>
          <w:sz w:val="20"/>
          <w:szCs w:val="20"/>
        </w:rPr>
        <w:t xml:space="preserve"> – all of Macumba catchment </w:t>
      </w:r>
      <w:r w:rsidR="004F4C20" w:rsidRPr="00F66774">
        <w:rPr>
          <w:rFonts w:ascii="Segoe UI" w:hAnsi="Segoe UI" w:cs="Segoe UI"/>
          <w:sz w:val="20"/>
          <w:szCs w:val="20"/>
        </w:rPr>
        <w:t xml:space="preserve">surface waterbodies included </w:t>
      </w:r>
      <w:r w:rsidR="0048567A" w:rsidRPr="00F66774">
        <w:rPr>
          <w:rFonts w:ascii="Segoe UI" w:hAnsi="Segoe UI" w:cs="Segoe UI"/>
          <w:sz w:val="20"/>
          <w:szCs w:val="20"/>
        </w:rPr>
        <w:t>(</w:t>
      </w:r>
      <w:r w:rsidR="001F49DB" w:rsidRPr="00F66774">
        <w:rPr>
          <w:rFonts w:ascii="Segoe UI" w:hAnsi="Segoe UI" w:cs="Segoe UI"/>
          <w:sz w:val="20"/>
          <w:szCs w:val="20"/>
        </w:rPr>
        <w:t>i.e.</w:t>
      </w:r>
      <w:r w:rsidR="0048567A" w:rsidRPr="00F66774">
        <w:rPr>
          <w:rFonts w:ascii="Segoe UI" w:hAnsi="Segoe UI" w:cs="Segoe UI"/>
          <w:sz w:val="20"/>
          <w:szCs w:val="20"/>
        </w:rPr>
        <w:t xml:space="preserve"> including </w:t>
      </w:r>
      <w:r w:rsidR="001F49DB" w:rsidRPr="00F66774">
        <w:rPr>
          <w:rFonts w:ascii="Segoe UI" w:hAnsi="Segoe UI" w:cs="Segoe UI"/>
          <w:sz w:val="20"/>
          <w:szCs w:val="20"/>
        </w:rPr>
        <w:t>sub catchments</w:t>
      </w:r>
      <w:r w:rsidR="0048567A" w:rsidRPr="00F66774">
        <w:rPr>
          <w:rFonts w:ascii="Segoe UI" w:hAnsi="Segoe UI" w:cs="Segoe UI"/>
          <w:sz w:val="20"/>
          <w:szCs w:val="20"/>
        </w:rPr>
        <w:t xml:space="preserve"> outside the Pedirka boundary) and downstream to the confluence with the Kallakoopah</w:t>
      </w:r>
    </w:p>
    <w:p w14:paraId="3D119931" w14:textId="25A56153" w:rsidR="00D35A85" w:rsidRPr="00E4159F" w:rsidRDefault="00D35A85" w:rsidP="0099001E">
      <w:pPr>
        <w:pStyle w:val="ListParagraph"/>
        <w:numPr>
          <w:ilvl w:val="0"/>
          <w:numId w:val="5"/>
        </w:numPr>
        <w:rPr>
          <w:rFonts w:ascii="Segoe UI" w:hAnsi="Segoe UI" w:cs="Segoe UI"/>
          <w:sz w:val="20"/>
          <w:szCs w:val="20"/>
        </w:rPr>
      </w:pPr>
      <w:r w:rsidRPr="00E4159F">
        <w:rPr>
          <w:rFonts w:ascii="Segoe UI" w:hAnsi="Segoe UI" w:cs="Segoe UI"/>
          <w:sz w:val="20"/>
          <w:szCs w:val="20"/>
        </w:rPr>
        <w:t xml:space="preserve">Upstream catchments </w:t>
      </w:r>
      <w:r w:rsidR="00366EEE" w:rsidRPr="00E4159F">
        <w:rPr>
          <w:rFonts w:ascii="Segoe UI" w:hAnsi="Segoe UI" w:cs="Segoe UI"/>
          <w:sz w:val="20"/>
          <w:szCs w:val="20"/>
        </w:rPr>
        <w:t xml:space="preserve">of the Neales-Peake </w:t>
      </w:r>
      <w:r w:rsidRPr="00E4159F">
        <w:rPr>
          <w:rFonts w:ascii="Segoe UI" w:hAnsi="Segoe UI" w:cs="Segoe UI"/>
          <w:sz w:val="20"/>
          <w:szCs w:val="20"/>
        </w:rPr>
        <w:t>outside of the inferred 2</w:t>
      </w:r>
      <w:r w:rsidR="00A657BF">
        <w:rPr>
          <w:rFonts w:ascii="Segoe UI" w:hAnsi="Segoe UI" w:cs="Segoe UI"/>
          <w:sz w:val="20"/>
          <w:szCs w:val="20"/>
        </w:rPr>
        <w:t>1</w:t>
      </w:r>
      <w:r w:rsidRPr="00E4159F">
        <w:rPr>
          <w:rFonts w:ascii="Segoe UI" w:hAnsi="Segoe UI" w:cs="Segoe UI"/>
          <w:sz w:val="20"/>
          <w:szCs w:val="20"/>
        </w:rPr>
        <w:t>0km drawdown zone have been included on the basis that some of the springs support</w:t>
      </w:r>
      <w:r w:rsidR="003915FA">
        <w:rPr>
          <w:rFonts w:ascii="Segoe UI" w:hAnsi="Segoe UI" w:cs="Segoe UI"/>
          <w:sz w:val="20"/>
          <w:szCs w:val="20"/>
        </w:rPr>
        <w:t xml:space="preserve"> </w:t>
      </w:r>
      <w:r w:rsidR="00C94931">
        <w:rPr>
          <w:rFonts w:ascii="Segoe UI" w:hAnsi="Segoe UI" w:cs="Segoe UI"/>
          <w:sz w:val="20"/>
          <w:szCs w:val="20"/>
        </w:rPr>
        <w:t>critical</w:t>
      </w:r>
      <w:r w:rsidRPr="00E4159F">
        <w:rPr>
          <w:rFonts w:ascii="Segoe UI" w:hAnsi="Segoe UI" w:cs="Segoe UI"/>
          <w:sz w:val="20"/>
          <w:szCs w:val="20"/>
        </w:rPr>
        <w:t xml:space="preserve"> refuges for aquatic species that inhabit </w:t>
      </w:r>
      <w:r w:rsidR="00366EEE" w:rsidRPr="00E4159F">
        <w:rPr>
          <w:rFonts w:ascii="Segoe UI" w:hAnsi="Segoe UI" w:cs="Segoe UI"/>
          <w:sz w:val="20"/>
          <w:szCs w:val="20"/>
        </w:rPr>
        <w:t>upstream reaches</w:t>
      </w:r>
      <w:r w:rsidRPr="00E4159F">
        <w:rPr>
          <w:rFonts w:ascii="Segoe UI" w:hAnsi="Segoe UI" w:cs="Segoe UI"/>
          <w:sz w:val="20"/>
          <w:szCs w:val="20"/>
        </w:rPr>
        <w:t xml:space="preserve">. </w:t>
      </w:r>
    </w:p>
    <w:p w14:paraId="139D3283" w14:textId="70FF58CA" w:rsidR="00714C18" w:rsidRPr="00F66774" w:rsidRDefault="00714C18" w:rsidP="00714C18">
      <w:pPr>
        <w:pStyle w:val="ListParagraph"/>
        <w:numPr>
          <w:ilvl w:val="0"/>
          <w:numId w:val="5"/>
        </w:numPr>
        <w:rPr>
          <w:rFonts w:ascii="Segoe UI" w:hAnsi="Segoe UI" w:cs="Segoe UI"/>
          <w:sz w:val="20"/>
          <w:szCs w:val="20"/>
        </w:rPr>
      </w:pPr>
      <w:r w:rsidRPr="00F66774">
        <w:rPr>
          <w:rFonts w:ascii="Segoe UI" w:hAnsi="Segoe UI" w:cs="Segoe UI"/>
          <w:sz w:val="20"/>
          <w:szCs w:val="20"/>
        </w:rPr>
        <w:lastRenderedPageBreak/>
        <w:t>20km buffer boundary included as a contingency around known surface waters and groundwater drawdown extents</w:t>
      </w:r>
      <w:r w:rsidR="00E4159F">
        <w:rPr>
          <w:rFonts w:ascii="Segoe UI" w:hAnsi="Segoe UI" w:cs="Segoe UI"/>
          <w:sz w:val="20"/>
          <w:szCs w:val="20"/>
        </w:rPr>
        <w:t>,</w:t>
      </w:r>
      <w:r w:rsidR="00366EEE">
        <w:rPr>
          <w:rFonts w:ascii="Segoe UI" w:hAnsi="Segoe UI" w:cs="Segoe UI"/>
          <w:sz w:val="20"/>
          <w:szCs w:val="20"/>
        </w:rPr>
        <w:t xml:space="preserve"> however all watercourse buffers are within the groundwater drawdown extent</w:t>
      </w:r>
      <w:r w:rsidR="00105756">
        <w:rPr>
          <w:rFonts w:ascii="Segoe UI" w:hAnsi="Segoe UI" w:cs="Segoe UI"/>
          <w:sz w:val="20"/>
          <w:szCs w:val="20"/>
        </w:rPr>
        <w:t>.</w:t>
      </w:r>
    </w:p>
    <w:p w14:paraId="10A79758" w14:textId="54E86564" w:rsidR="00714C18" w:rsidRPr="00F66774" w:rsidRDefault="00714C18" w:rsidP="004F4C20">
      <w:pPr>
        <w:pStyle w:val="ListParagraph"/>
        <w:numPr>
          <w:ilvl w:val="0"/>
          <w:numId w:val="5"/>
        </w:numPr>
        <w:rPr>
          <w:rFonts w:ascii="Segoe UI" w:hAnsi="Segoe UI" w:cs="Segoe UI"/>
          <w:sz w:val="20"/>
          <w:szCs w:val="20"/>
        </w:rPr>
      </w:pPr>
      <w:r w:rsidRPr="00F66774">
        <w:rPr>
          <w:rFonts w:ascii="Segoe UI" w:hAnsi="Segoe UI" w:cs="Segoe UI"/>
          <w:sz w:val="20"/>
          <w:szCs w:val="20"/>
        </w:rPr>
        <w:t>Springs locations with SA (DEWNR dataset)</w:t>
      </w:r>
      <w:r w:rsidR="0048567A" w:rsidRPr="00F66774">
        <w:rPr>
          <w:rFonts w:ascii="Segoe UI" w:hAnsi="Segoe UI" w:cs="Segoe UI"/>
          <w:sz w:val="20"/>
          <w:szCs w:val="20"/>
        </w:rPr>
        <w:t xml:space="preserve"> </w:t>
      </w:r>
      <w:r w:rsidR="004F4C20" w:rsidRPr="00F66774">
        <w:rPr>
          <w:rFonts w:ascii="Segoe UI" w:hAnsi="Segoe UI" w:cs="Segoe UI"/>
          <w:sz w:val="20"/>
          <w:szCs w:val="20"/>
        </w:rPr>
        <w:t>+ national springs database compiled for the Recovery Plan by Fensham et al. 2005)</w:t>
      </w:r>
      <w:r w:rsidRPr="00F66774">
        <w:rPr>
          <w:rFonts w:ascii="Segoe UI" w:hAnsi="Segoe UI" w:cs="Segoe UI"/>
          <w:sz w:val="20"/>
          <w:szCs w:val="20"/>
        </w:rPr>
        <w:t>.</w:t>
      </w:r>
    </w:p>
    <w:p w14:paraId="2294771D" w14:textId="77777777" w:rsidR="002B5715" w:rsidRPr="002B5715" w:rsidRDefault="002B5715" w:rsidP="002B5715">
      <w:pPr>
        <w:pStyle w:val="ListParagraph"/>
        <w:numPr>
          <w:ilvl w:val="0"/>
          <w:numId w:val="5"/>
        </w:numPr>
        <w:rPr>
          <w:rFonts w:ascii="Segoe UI" w:hAnsi="Segoe UI" w:cs="Segoe UI"/>
          <w:sz w:val="20"/>
          <w:szCs w:val="20"/>
        </w:rPr>
      </w:pPr>
      <w:r w:rsidRPr="002B5715">
        <w:rPr>
          <w:rFonts w:ascii="Segoe UI" w:hAnsi="Segoe UI" w:cs="Segoe UI"/>
          <w:sz w:val="20"/>
          <w:szCs w:val="20"/>
        </w:rPr>
        <w:t>GAB springs of the Lake Eyre supergroup included with a 5km buffer around the point location to accommodate the extensive wetland and terrestrial ecosystems the spring support. It is noted that the impacts of drawdown on pressures would reduce further from the coal resource but recognising that there may be ecological dependencies between the springs.</w:t>
      </w:r>
    </w:p>
    <w:p w14:paraId="169BD24B" w14:textId="77777777" w:rsidR="00872707" w:rsidRPr="00F66774" w:rsidRDefault="00872707" w:rsidP="00872707">
      <w:pPr>
        <w:pStyle w:val="ListParagraph"/>
        <w:numPr>
          <w:ilvl w:val="0"/>
          <w:numId w:val="5"/>
        </w:numPr>
        <w:rPr>
          <w:rFonts w:ascii="Segoe UI" w:hAnsi="Segoe UI" w:cs="Segoe UI"/>
          <w:sz w:val="20"/>
          <w:szCs w:val="20"/>
        </w:rPr>
      </w:pPr>
      <w:r w:rsidRPr="00F66774">
        <w:rPr>
          <w:rFonts w:ascii="Segoe UI" w:hAnsi="Segoe UI" w:cs="Segoe UI"/>
          <w:sz w:val="20"/>
          <w:szCs w:val="20"/>
        </w:rPr>
        <w:t>A potentiometric surface has been generated for the GAB aquifer (Cadna-owie Formation – Algebuckina Sandstone and equivalents) for the SA and NT portions of the GAB.</w:t>
      </w:r>
    </w:p>
    <w:p w14:paraId="5EB0526B" w14:textId="4FCBD5EF" w:rsidR="003A4F19" w:rsidRPr="00F66774" w:rsidRDefault="003A4F19" w:rsidP="003A4F19">
      <w:pPr>
        <w:pStyle w:val="ListParagraph"/>
        <w:numPr>
          <w:ilvl w:val="0"/>
          <w:numId w:val="5"/>
        </w:numPr>
        <w:spacing w:after="200" w:line="276" w:lineRule="auto"/>
        <w:rPr>
          <w:rFonts w:ascii="Segoe UI" w:hAnsi="Segoe UI" w:cs="Segoe UI"/>
          <w:sz w:val="20"/>
          <w:szCs w:val="20"/>
        </w:rPr>
      </w:pPr>
      <w:r w:rsidRPr="00F66774">
        <w:rPr>
          <w:rFonts w:ascii="Segoe UI" w:hAnsi="Segoe UI" w:cs="Segoe UI"/>
          <w:sz w:val="20"/>
          <w:szCs w:val="20"/>
        </w:rPr>
        <w:t xml:space="preserve">Lower reaches of the Finke are </w:t>
      </w:r>
      <w:r w:rsidRPr="00D35A85">
        <w:rPr>
          <w:rFonts w:ascii="Segoe UI" w:hAnsi="Segoe UI" w:cs="Segoe UI"/>
          <w:sz w:val="20"/>
          <w:szCs w:val="20"/>
        </w:rPr>
        <w:t xml:space="preserve">within the </w:t>
      </w:r>
      <w:r w:rsidR="00387BDF">
        <w:rPr>
          <w:rFonts w:ascii="Segoe UI" w:hAnsi="Segoe UI" w:cs="Segoe UI"/>
          <w:sz w:val="20"/>
          <w:szCs w:val="20"/>
        </w:rPr>
        <w:t>21</w:t>
      </w:r>
      <w:r w:rsidRPr="00D35A85">
        <w:rPr>
          <w:rFonts w:ascii="Segoe UI" w:hAnsi="Segoe UI" w:cs="Segoe UI"/>
          <w:sz w:val="20"/>
          <w:szCs w:val="20"/>
        </w:rPr>
        <w:t>0km</w:t>
      </w:r>
      <w:r w:rsidRPr="00F66774">
        <w:rPr>
          <w:rFonts w:ascii="Segoe UI" w:hAnsi="Segoe UI" w:cs="Segoe UI"/>
          <w:sz w:val="20"/>
          <w:szCs w:val="20"/>
        </w:rPr>
        <w:t xml:space="preserve"> buffer around the Pedirka coal beds, which includes the Snake Gully/ Finke river flood</w:t>
      </w:r>
      <w:r w:rsidR="00FA17A3">
        <w:rPr>
          <w:rFonts w:ascii="Segoe UI" w:hAnsi="Segoe UI" w:cs="Segoe UI"/>
          <w:sz w:val="20"/>
          <w:szCs w:val="20"/>
        </w:rPr>
        <w:t>out</w:t>
      </w:r>
      <w:r w:rsidRPr="00F66774">
        <w:rPr>
          <w:rFonts w:ascii="Segoe UI" w:hAnsi="Segoe UI" w:cs="Segoe UI"/>
          <w:sz w:val="20"/>
          <w:szCs w:val="20"/>
        </w:rPr>
        <w:t>.</w:t>
      </w:r>
    </w:p>
    <w:p w14:paraId="2D56BD58" w14:textId="43F96351" w:rsidR="003A4F19" w:rsidRDefault="003A4F19" w:rsidP="003A4F19">
      <w:pPr>
        <w:pStyle w:val="ListParagraph"/>
        <w:numPr>
          <w:ilvl w:val="0"/>
          <w:numId w:val="5"/>
        </w:numPr>
        <w:spacing w:after="200" w:line="276" w:lineRule="auto"/>
        <w:rPr>
          <w:rFonts w:ascii="Segoe UI" w:hAnsi="Segoe UI" w:cs="Segoe UI"/>
          <w:sz w:val="20"/>
          <w:szCs w:val="20"/>
        </w:rPr>
      </w:pPr>
      <w:r w:rsidRPr="00F66774">
        <w:rPr>
          <w:rFonts w:ascii="Segoe UI" w:hAnsi="Segoe UI" w:cs="Segoe UI"/>
          <w:sz w:val="20"/>
          <w:szCs w:val="20"/>
        </w:rPr>
        <w:t xml:space="preserve">Dalhousie springs complex </w:t>
      </w:r>
      <w:r w:rsidR="00387BDF">
        <w:rPr>
          <w:rFonts w:ascii="Segoe UI" w:hAnsi="Segoe UI" w:cs="Segoe UI"/>
          <w:sz w:val="20"/>
          <w:szCs w:val="20"/>
        </w:rPr>
        <w:t>is within the 21</w:t>
      </w:r>
      <w:r w:rsidR="00366EEE">
        <w:rPr>
          <w:rFonts w:ascii="Segoe UI" w:hAnsi="Segoe UI" w:cs="Segoe UI"/>
          <w:sz w:val="20"/>
          <w:szCs w:val="20"/>
        </w:rPr>
        <w:t>0km drawdown extent</w:t>
      </w:r>
      <w:r w:rsidRPr="00F66774">
        <w:rPr>
          <w:rFonts w:ascii="Segoe UI" w:hAnsi="Segoe UI" w:cs="Segoe UI"/>
          <w:sz w:val="20"/>
          <w:szCs w:val="20"/>
        </w:rPr>
        <w:t>.</w:t>
      </w:r>
    </w:p>
    <w:p w14:paraId="474099F6" w14:textId="1FEEE5B7" w:rsidR="003915FA" w:rsidRDefault="003915FA" w:rsidP="003A4F19">
      <w:pPr>
        <w:pStyle w:val="ListParagraph"/>
        <w:numPr>
          <w:ilvl w:val="0"/>
          <w:numId w:val="5"/>
        </w:numPr>
        <w:spacing w:after="200" w:line="276" w:lineRule="auto"/>
        <w:rPr>
          <w:rFonts w:ascii="Segoe UI" w:hAnsi="Segoe UI" w:cs="Segoe UI"/>
          <w:sz w:val="20"/>
          <w:szCs w:val="20"/>
        </w:rPr>
      </w:pPr>
      <w:r>
        <w:rPr>
          <w:rFonts w:ascii="Segoe UI" w:hAnsi="Segoe UI" w:cs="Segoe UI"/>
          <w:sz w:val="20"/>
          <w:szCs w:val="20"/>
        </w:rPr>
        <w:t xml:space="preserve">Water assets have been identified within northern areas of the Pedirka PAE based upon conservative assumptions that unknown vegetation dependency occurs from groundwater and shallow groundwater. This includes the Hale, Hay and Plenty Rivers together with wetlands of significance (Allitra tableland wetlands and Lower Plenty Lakes). </w:t>
      </w:r>
    </w:p>
    <w:p w14:paraId="779A00DE" w14:textId="353F4E8A" w:rsidR="00FA17A3" w:rsidRPr="00F66774" w:rsidRDefault="00FA17A3" w:rsidP="00FA17A3">
      <w:pPr>
        <w:pStyle w:val="ListParagraph"/>
        <w:numPr>
          <w:ilvl w:val="0"/>
          <w:numId w:val="5"/>
        </w:numPr>
        <w:spacing w:after="200" w:line="276" w:lineRule="auto"/>
        <w:rPr>
          <w:rFonts w:ascii="Segoe UI" w:hAnsi="Segoe UI" w:cs="Segoe UI"/>
          <w:sz w:val="20"/>
          <w:szCs w:val="20"/>
        </w:rPr>
      </w:pPr>
      <w:r>
        <w:rPr>
          <w:rFonts w:ascii="Segoe UI" w:hAnsi="Segoe UI" w:cs="Segoe UI"/>
          <w:sz w:val="20"/>
          <w:szCs w:val="20"/>
        </w:rPr>
        <w:t xml:space="preserve">Water assets have been identified within northern and eastern areas of the Pedirka PAE based on unknown terrestrial vegetation dependency on groundwater and shallow groundwater. Water </w:t>
      </w:r>
      <w:r w:rsidR="00C94931">
        <w:rPr>
          <w:rFonts w:ascii="Segoe UI" w:hAnsi="Segoe UI" w:cs="Segoe UI"/>
          <w:sz w:val="20"/>
          <w:szCs w:val="20"/>
        </w:rPr>
        <w:t>assets</w:t>
      </w:r>
      <w:r>
        <w:rPr>
          <w:rFonts w:ascii="Segoe UI" w:hAnsi="Segoe UI" w:cs="Segoe UI"/>
          <w:sz w:val="20"/>
          <w:szCs w:val="20"/>
        </w:rPr>
        <w:t xml:space="preserve"> include poorly studied floodout forest (dense riparian vegetation) of the Hale, Hay and Plenty Rivers together with wetlands of significance (Allitra tableland wetlands, Lower Plenty Lakes and Mulligan River salt lakes). It is however recognised that no GAB springs exist within the eastern areas of the Pedirka PAE.  </w:t>
      </w:r>
    </w:p>
    <w:p w14:paraId="385080A1" w14:textId="77777777" w:rsidR="00750389" w:rsidRPr="00872707" w:rsidRDefault="00750389" w:rsidP="00750389">
      <w:pPr>
        <w:pStyle w:val="Heading4"/>
        <w:rPr>
          <w:rFonts w:ascii="Segoe UI" w:hAnsi="Segoe UI" w:cs="Segoe UI"/>
          <w:sz w:val="20"/>
          <w:szCs w:val="20"/>
        </w:rPr>
      </w:pPr>
      <w:r w:rsidRPr="00872707">
        <w:rPr>
          <w:rFonts w:ascii="Segoe UI" w:hAnsi="Segoe UI" w:cs="Segoe UI"/>
          <w:sz w:val="20"/>
          <w:szCs w:val="20"/>
        </w:rPr>
        <w:t>Assumptions</w:t>
      </w:r>
    </w:p>
    <w:p w14:paraId="03637623" w14:textId="263AA249" w:rsidR="00750389" w:rsidRPr="00872707" w:rsidRDefault="00750389" w:rsidP="00750389">
      <w:pPr>
        <w:pStyle w:val="ListParagraph"/>
        <w:numPr>
          <w:ilvl w:val="0"/>
          <w:numId w:val="5"/>
        </w:numPr>
        <w:rPr>
          <w:rFonts w:ascii="Segoe UI" w:hAnsi="Segoe UI" w:cs="Segoe UI"/>
          <w:sz w:val="20"/>
          <w:szCs w:val="20"/>
        </w:rPr>
      </w:pPr>
      <w:r w:rsidRPr="00872707">
        <w:rPr>
          <w:rFonts w:ascii="Segoe UI" w:hAnsi="Segoe UI" w:cs="Segoe UI"/>
          <w:sz w:val="20"/>
          <w:szCs w:val="20"/>
        </w:rPr>
        <w:t xml:space="preserve">No surface water connectivity to </w:t>
      </w:r>
      <w:r w:rsidR="0060207D" w:rsidRPr="00872707">
        <w:rPr>
          <w:rFonts w:ascii="Segoe UI" w:hAnsi="Segoe UI" w:cs="Segoe UI"/>
          <w:sz w:val="20"/>
          <w:szCs w:val="20"/>
        </w:rPr>
        <w:t xml:space="preserve">the isolated dune lake </w:t>
      </w:r>
      <w:r w:rsidRPr="00872707">
        <w:rPr>
          <w:rFonts w:ascii="Segoe UI" w:hAnsi="Segoe UI" w:cs="Segoe UI"/>
          <w:sz w:val="20"/>
          <w:szCs w:val="20"/>
        </w:rPr>
        <w:t>systems in</w:t>
      </w:r>
      <w:r w:rsidR="0060207D" w:rsidRPr="00872707">
        <w:rPr>
          <w:rFonts w:ascii="Segoe UI" w:hAnsi="Segoe UI" w:cs="Segoe UI"/>
          <w:sz w:val="20"/>
          <w:szCs w:val="20"/>
        </w:rPr>
        <w:t xml:space="preserve"> the south and east of the Pedirka in the</w:t>
      </w:r>
      <w:r w:rsidR="0099001E">
        <w:rPr>
          <w:rFonts w:ascii="Segoe UI" w:hAnsi="Segoe UI" w:cs="Segoe UI"/>
          <w:sz w:val="20"/>
          <w:szCs w:val="20"/>
        </w:rPr>
        <w:t xml:space="preserve"> Simpson Desert.</w:t>
      </w:r>
    </w:p>
    <w:p w14:paraId="19B7C16F" w14:textId="77777777" w:rsidR="00A04862" w:rsidRPr="00872707" w:rsidRDefault="00A04862" w:rsidP="00750389">
      <w:pPr>
        <w:pStyle w:val="ListParagraph"/>
        <w:numPr>
          <w:ilvl w:val="0"/>
          <w:numId w:val="5"/>
        </w:numPr>
        <w:rPr>
          <w:rFonts w:ascii="Segoe UI" w:hAnsi="Segoe UI" w:cs="Segoe UI"/>
          <w:sz w:val="20"/>
          <w:szCs w:val="20"/>
        </w:rPr>
      </w:pPr>
      <w:r w:rsidRPr="00872707">
        <w:rPr>
          <w:rFonts w:ascii="Segoe UI" w:hAnsi="Segoe UI" w:cs="Segoe UI"/>
          <w:sz w:val="20"/>
          <w:szCs w:val="20"/>
        </w:rPr>
        <w:t>Absence of fish in Hale River</w:t>
      </w:r>
      <w:r w:rsidR="00750389" w:rsidRPr="00872707">
        <w:rPr>
          <w:rFonts w:ascii="Segoe UI" w:hAnsi="Segoe UI" w:cs="Segoe UI"/>
          <w:sz w:val="20"/>
          <w:szCs w:val="20"/>
        </w:rPr>
        <w:t>.</w:t>
      </w:r>
    </w:p>
    <w:p w14:paraId="398472F3" w14:textId="58EDFE94" w:rsidR="00A04862" w:rsidRPr="00872707" w:rsidRDefault="0099001E" w:rsidP="00750389">
      <w:pPr>
        <w:pStyle w:val="ListParagraph"/>
        <w:numPr>
          <w:ilvl w:val="0"/>
          <w:numId w:val="5"/>
        </w:numPr>
        <w:rPr>
          <w:rFonts w:ascii="Segoe UI" w:hAnsi="Segoe UI" w:cs="Segoe UI"/>
          <w:sz w:val="20"/>
          <w:szCs w:val="20"/>
        </w:rPr>
      </w:pPr>
      <w:r>
        <w:rPr>
          <w:rFonts w:ascii="Segoe UI" w:hAnsi="Segoe UI" w:cs="Segoe UI"/>
          <w:sz w:val="20"/>
          <w:szCs w:val="20"/>
        </w:rPr>
        <w:t>McDills Anticline</w:t>
      </w:r>
      <w:r w:rsidR="00522190">
        <w:rPr>
          <w:rFonts w:ascii="Segoe UI" w:hAnsi="Segoe UI" w:cs="Segoe UI"/>
          <w:sz w:val="20"/>
          <w:szCs w:val="20"/>
        </w:rPr>
        <w:t xml:space="preserve">  has been excluded from the modelling assessment due to poorly characterised </w:t>
      </w:r>
      <w:r w:rsidR="00FA17A3">
        <w:rPr>
          <w:rFonts w:ascii="Segoe UI" w:hAnsi="Segoe UI" w:cs="Segoe UI"/>
          <w:sz w:val="20"/>
          <w:szCs w:val="20"/>
        </w:rPr>
        <w:t>geological structure</w:t>
      </w:r>
      <w:r w:rsidR="00522190">
        <w:rPr>
          <w:rFonts w:ascii="Segoe UI" w:hAnsi="Segoe UI" w:cs="Segoe UI"/>
          <w:sz w:val="20"/>
          <w:szCs w:val="20"/>
        </w:rPr>
        <w:t>. Further investigations are required to understand the influence on water availability and transmission extent.</w:t>
      </w:r>
    </w:p>
    <w:p w14:paraId="293AB3E3" w14:textId="39C59D96" w:rsidR="00A04862" w:rsidRPr="00872707" w:rsidRDefault="00A04862" w:rsidP="00750389">
      <w:pPr>
        <w:pStyle w:val="ListParagraph"/>
        <w:numPr>
          <w:ilvl w:val="0"/>
          <w:numId w:val="5"/>
        </w:numPr>
        <w:rPr>
          <w:rFonts w:ascii="Segoe UI" w:hAnsi="Segoe UI" w:cs="Segoe UI"/>
          <w:sz w:val="20"/>
          <w:szCs w:val="20"/>
        </w:rPr>
      </w:pPr>
      <w:r w:rsidRPr="00872707">
        <w:rPr>
          <w:rFonts w:ascii="Segoe UI" w:hAnsi="Segoe UI" w:cs="Segoe UI"/>
          <w:sz w:val="20"/>
          <w:szCs w:val="20"/>
        </w:rPr>
        <w:t xml:space="preserve">Northern boundary extent </w:t>
      </w:r>
      <w:r w:rsidR="00750389" w:rsidRPr="00872707">
        <w:rPr>
          <w:rFonts w:ascii="Segoe UI" w:hAnsi="Segoe UI" w:cs="Segoe UI"/>
          <w:sz w:val="20"/>
          <w:szCs w:val="20"/>
        </w:rPr>
        <w:t>based upon</w:t>
      </w:r>
      <w:r w:rsidRPr="00872707">
        <w:rPr>
          <w:rFonts w:ascii="Segoe UI" w:hAnsi="Segoe UI" w:cs="Segoe UI"/>
          <w:sz w:val="20"/>
          <w:szCs w:val="20"/>
        </w:rPr>
        <w:t xml:space="preserve"> GAB basin boundary</w:t>
      </w:r>
      <w:r w:rsidR="004F4C20" w:rsidRPr="00872707">
        <w:rPr>
          <w:rFonts w:ascii="Segoe UI" w:hAnsi="Segoe UI" w:cs="Segoe UI"/>
          <w:sz w:val="20"/>
          <w:szCs w:val="20"/>
        </w:rPr>
        <w:t xml:space="preserve"> and extent of drawdown within the basin boundary</w:t>
      </w:r>
      <w:r w:rsidR="0099001E">
        <w:rPr>
          <w:rFonts w:ascii="Segoe UI" w:hAnsi="Segoe UI" w:cs="Segoe UI"/>
          <w:sz w:val="20"/>
          <w:szCs w:val="20"/>
        </w:rPr>
        <w:t>.</w:t>
      </w:r>
    </w:p>
    <w:p w14:paraId="4C13DC9D" w14:textId="28823267" w:rsidR="00A04862" w:rsidRPr="00872707" w:rsidRDefault="00A04862" w:rsidP="00750389">
      <w:pPr>
        <w:pStyle w:val="ListParagraph"/>
        <w:numPr>
          <w:ilvl w:val="0"/>
          <w:numId w:val="5"/>
        </w:numPr>
        <w:rPr>
          <w:rFonts w:ascii="Segoe UI" w:hAnsi="Segoe UI" w:cs="Segoe UI"/>
          <w:sz w:val="20"/>
          <w:szCs w:val="20"/>
        </w:rPr>
      </w:pPr>
      <w:r w:rsidRPr="00872707">
        <w:rPr>
          <w:rFonts w:ascii="Segoe UI" w:hAnsi="Segoe UI" w:cs="Segoe UI"/>
          <w:sz w:val="20"/>
          <w:szCs w:val="20"/>
        </w:rPr>
        <w:t>Groundwater flow</w:t>
      </w:r>
      <w:r w:rsidR="004F4C20" w:rsidRPr="00872707">
        <w:rPr>
          <w:rFonts w:ascii="Segoe UI" w:hAnsi="Segoe UI" w:cs="Segoe UI"/>
          <w:sz w:val="20"/>
          <w:szCs w:val="20"/>
        </w:rPr>
        <w:t>s</w:t>
      </w:r>
      <w:r w:rsidRPr="00872707">
        <w:rPr>
          <w:rFonts w:ascii="Segoe UI" w:hAnsi="Segoe UI" w:cs="Segoe UI"/>
          <w:sz w:val="20"/>
          <w:szCs w:val="20"/>
        </w:rPr>
        <w:t xml:space="preserve"> from </w:t>
      </w:r>
      <w:r w:rsidR="004F4C20" w:rsidRPr="00872707">
        <w:rPr>
          <w:rFonts w:ascii="Segoe UI" w:hAnsi="Segoe UI" w:cs="Segoe UI"/>
          <w:sz w:val="20"/>
          <w:szCs w:val="20"/>
        </w:rPr>
        <w:t>recharge areas in the GAB to</w:t>
      </w:r>
      <w:r w:rsidR="00366EEE">
        <w:rPr>
          <w:rFonts w:ascii="Segoe UI" w:hAnsi="Segoe UI" w:cs="Segoe UI"/>
          <w:sz w:val="20"/>
          <w:szCs w:val="20"/>
        </w:rPr>
        <w:t>wards</w:t>
      </w:r>
      <w:r w:rsidR="004F4C20" w:rsidRPr="00872707">
        <w:rPr>
          <w:rFonts w:ascii="Segoe UI" w:hAnsi="Segoe UI" w:cs="Segoe UI"/>
          <w:sz w:val="20"/>
          <w:szCs w:val="20"/>
        </w:rPr>
        <w:t xml:space="preserve"> </w:t>
      </w:r>
      <w:proofErr w:type="gramStart"/>
      <w:r w:rsidR="00F333AF">
        <w:rPr>
          <w:rFonts w:ascii="Segoe UI" w:hAnsi="Segoe UI" w:cs="Segoe UI"/>
          <w:sz w:val="20"/>
          <w:szCs w:val="20"/>
        </w:rPr>
        <w:t xml:space="preserve">critical </w:t>
      </w:r>
      <w:r w:rsidRPr="00872707">
        <w:rPr>
          <w:rFonts w:ascii="Segoe UI" w:hAnsi="Segoe UI" w:cs="Segoe UI"/>
          <w:sz w:val="20"/>
          <w:szCs w:val="20"/>
        </w:rPr>
        <w:t xml:space="preserve"> springs</w:t>
      </w:r>
      <w:proofErr w:type="gramEnd"/>
      <w:r w:rsidRPr="00872707">
        <w:rPr>
          <w:rFonts w:ascii="Segoe UI" w:hAnsi="Segoe UI" w:cs="Segoe UI"/>
          <w:sz w:val="20"/>
          <w:szCs w:val="20"/>
        </w:rPr>
        <w:t xml:space="preserve"> </w:t>
      </w:r>
      <w:r w:rsidR="004F4C20" w:rsidRPr="00872707">
        <w:rPr>
          <w:rFonts w:ascii="Segoe UI" w:hAnsi="Segoe UI" w:cs="Segoe UI"/>
          <w:sz w:val="20"/>
          <w:szCs w:val="20"/>
        </w:rPr>
        <w:t>supergroup</w:t>
      </w:r>
      <w:r w:rsidR="00366EEE">
        <w:rPr>
          <w:rFonts w:ascii="Segoe UI" w:hAnsi="Segoe UI" w:cs="Segoe UI"/>
          <w:sz w:val="20"/>
          <w:szCs w:val="20"/>
        </w:rPr>
        <w:t xml:space="preserve"> but drawdown would not be sufficient to impact the Mulligan springs </w:t>
      </w:r>
      <w:r w:rsidR="00522190">
        <w:rPr>
          <w:rFonts w:ascii="Segoe UI" w:hAnsi="Segoe UI" w:cs="Segoe UI"/>
          <w:sz w:val="20"/>
          <w:szCs w:val="20"/>
        </w:rPr>
        <w:t xml:space="preserve">as these are outside of the GAB </w:t>
      </w:r>
      <w:r w:rsidR="00366EEE">
        <w:rPr>
          <w:rFonts w:ascii="Segoe UI" w:hAnsi="Segoe UI" w:cs="Segoe UI"/>
          <w:sz w:val="20"/>
          <w:szCs w:val="20"/>
        </w:rPr>
        <w:t>(see data gaps below)</w:t>
      </w:r>
      <w:r w:rsidR="00E4159F">
        <w:rPr>
          <w:rFonts w:ascii="Segoe UI" w:hAnsi="Segoe UI" w:cs="Segoe UI"/>
          <w:sz w:val="20"/>
          <w:szCs w:val="20"/>
        </w:rPr>
        <w:t>.</w:t>
      </w:r>
    </w:p>
    <w:p w14:paraId="525731F8" w14:textId="77777777" w:rsidR="00FA17A3" w:rsidRDefault="00FA17A3" w:rsidP="000776C2">
      <w:pPr>
        <w:pStyle w:val="ListParagraph"/>
        <w:numPr>
          <w:ilvl w:val="0"/>
          <w:numId w:val="5"/>
        </w:numPr>
        <w:rPr>
          <w:rFonts w:ascii="Segoe UI" w:hAnsi="Segoe UI" w:cs="Segoe UI"/>
          <w:sz w:val="20"/>
          <w:szCs w:val="20"/>
        </w:rPr>
      </w:pPr>
      <w:r w:rsidRPr="00E4159F">
        <w:rPr>
          <w:rFonts w:ascii="Segoe UI" w:hAnsi="Segoe UI" w:cs="Segoe UI"/>
          <w:sz w:val="20"/>
          <w:szCs w:val="20"/>
        </w:rPr>
        <w:t>Surface water</w:t>
      </w:r>
      <w:r>
        <w:rPr>
          <w:rFonts w:ascii="Segoe UI" w:hAnsi="Segoe UI" w:cs="Segoe UI"/>
          <w:sz w:val="20"/>
          <w:szCs w:val="20"/>
        </w:rPr>
        <w:t xml:space="preserve"> features</w:t>
      </w:r>
      <w:r w:rsidRPr="00E4159F">
        <w:rPr>
          <w:rFonts w:ascii="Segoe UI" w:hAnsi="Segoe UI" w:cs="Segoe UI"/>
          <w:sz w:val="20"/>
          <w:szCs w:val="20"/>
        </w:rPr>
        <w:t xml:space="preserve"> of the Finke River catchment within the Pedirka boundary included, but upstream connections </w:t>
      </w:r>
      <w:r>
        <w:rPr>
          <w:rFonts w:ascii="Segoe UI" w:hAnsi="Segoe UI" w:cs="Segoe UI"/>
          <w:sz w:val="20"/>
          <w:szCs w:val="20"/>
        </w:rPr>
        <w:t xml:space="preserve">of the tablelands </w:t>
      </w:r>
      <w:r w:rsidRPr="00E4159F">
        <w:rPr>
          <w:rFonts w:ascii="Segoe UI" w:hAnsi="Segoe UI" w:cs="Segoe UI"/>
          <w:sz w:val="20"/>
          <w:szCs w:val="20"/>
        </w:rPr>
        <w:t xml:space="preserve">excluded as frequency </w:t>
      </w:r>
      <w:r>
        <w:rPr>
          <w:rFonts w:ascii="Segoe UI" w:hAnsi="Segoe UI" w:cs="Segoe UI"/>
          <w:sz w:val="20"/>
          <w:szCs w:val="20"/>
        </w:rPr>
        <w:t>of connectivity</w:t>
      </w:r>
      <w:r w:rsidRPr="00E4159F">
        <w:rPr>
          <w:rFonts w:ascii="Segoe UI" w:hAnsi="Segoe UI" w:cs="Segoe UI"/>
          <w:sz w:val="20"/>
          <w:szCs w:val="20"/>
        </w:rPr>
        <w:t xml:space="preserve"> is considered </w:t>
      </w:r>
      <w:r>
        <w:rPr>
          <w:rFonts w:ascii="Segoe UI" w:hAnsi="Segoe UI" w:cs="Segoe UI"/>
          <w:sz w:val="20"/>
          <w:szCs w:val="20"/>
        </w:rPr>
        <w:t>too</w:t>
      </w:r>
      <w:r w:rsidRPr="00E4159F">
        <w:rPr>
          <w:rFonts w:ascii="Segoe UI" w:hAnsi="Segoe UI" w:cs="Segoe UI"/>
          <w:sz w:val="20"/>
          <w:szCs w:val="20"/>
        </w:rPr>
        <w:t xml:space="preserve"> infrequent for upstream </w:t>
      </w:r>
      <w:r>
        <w:rPr>
          <w:rFonts w:ascii="Segoe UI" w:hAnsi="Segoe UI" w:cs="Segoe UI"/>
          <w:sz w:val="20"/>
          <w:szCs w:val="20"/>
        </w:rPr>
        <w:t xml:space="preserve">refuge </w:t>
      </w:r>
      <w:r w:rsidRPr="00E4159F">
        <w:rPr>
          <w:rFonts w:ascii="Segoe UI" w:hAnsi="Segoe UI" w:cs="Segoe UI"/>
          <w:sz w:val="20"/>
          <w:szCs w:val="20"/>
        </w:rPr>
        <w:t>ecosystems to be reliant on these lower reaches.</w:t>
      </w:r>
    </w:p>
    <w:p w14:paraId="6078DC6F" w14:textId="7624D61A" w:rsidR="00E4159F" w:rsidRDefault="00BA0756" w:rsidP="000776C2">
      <w:pPr>
        <w:pStyle w:val="ListParagraph"/>
        <w:numPr>
          <w:ilvl w:val="0"/>
          <w:numId w:val="5"/>
        </w:numPr>
        <w:rPr>
          <w:rFonts w:ascii="Segoe UI" w:hAnsi="Segoe UI" w:cs="Segoe UI"/>
          <w:sz w:val="20"/>
          <w:szCs w:val="20"/>
        </w:rPr>
      </w:pPr>
      <w:r w:rsidRPr="00E4159F">
        <w:rPr>
          <w:rFonts w:ascii="Segoe UI" w:hAnsi="Segoe UI" w:cs="Segoe UI"/>
          <w:sz w:val="20"/>
          <w:szCs w:val="20"/>
        </w:rPr>
        <w:t>The Ne</w:t>
      </w:r>
      <w:r w:rsidR="00522190">
        <w:rPr>
          <w:rFonts w:ascii="Segoe UI" w:hAnsi="Segoe UI" w:cs="Segoe UI"/>
          <w:sz w:val="20"/>
          <w:szCs w:val="20"/>
        </w:rPr>
        <w:t>ale</w:t>
      </w:r>
      <w:r w:rsidRPr="00E4159F">
        <w:rPr>
          <w:rFonts w:ascii="Segoe UI" w:hAnsi="Segoe UI" w:cs="Segoe UI"/>
          <w:sz w:val="20"/>
          <w:szCs w:val="20"/>
        </w:rPr>
        <w:t>s River catchment was derived from the 1 second national DEM and smoothed manually using heads up digitising. Where possible it follows existing basin boundaries.</w:t>
      </w:r>
      <w:r w:rsidR="00E4159F" w:rsidRPr="00E4159F">
        <w:rPr>
          <w:rFonts w:ascii="Segoe UI" w:hAnsi="Segoe UI" w:cs="Segoe UI"/>
          <w:sz w:val="20"/>
          <w:szCs w:val="20"/>
        </w:rPr>
        <w:t xml:space="preserve"> </w:t>
      </w:r>
    </w:p>
    <w:p w14:paraId="6F0E14C2" w14:textId="77777777" w:rsidR="00E4159F" w:rsidRDefault="00E4159F" w:rsidP="00E4159F">
      <w:pPr>
        <w:pStyle w:val="ListParagraph"/>
        <w:rPr>
          <w:rFonts w:ascii="Segoe UI" w:hAnsi="Segoe UI" w:cs="Segoe UI"/>
          <w:sz w:val="20"/>
          <w:szCs w:val="20"/>
        </w:rPr>
      </w:pPr>
    </w:p>
    <w:p w14:paraId="650831CC" w14:textId="77777777" w:rsidR="00A04862" w:rsidRPr="00A04862" w:rsidRDefault="00A04862" w:rsidP="00A04862">
      <w:pPr>
        <w:pStyle w:val="Heading4"/>
        <w:rPr>
          <w:rFonts w:ascii="Segoe UI" w:hAnsi="Segoe UI" w:cs="Segoe UI"/>
          <w:sz w:val="20"/>
          <w:szCs w:val="20"/>
        </w:rPr>
      </w:pPr>
      <w:r w:rsidRPr="00A04862">
        <w:rPr>
          <w:rFonts w:ascii="Segoe UI" w:hAnsi="Segoe UI" w:cs="Segoe UI"/>
          <w:sz w:val="20"/>
          <w:szCs w:val="20"/>
        </w:rPr>
        <w:t>Data gap</w:t>
      </w:r>
      <w:r w:rsidR="005C38F0">
        <w:rPr>
          <w:rFonts w:ascii="Segoe UI" w:hAnsi="Segoe UI" w:cs="Segoe UI"/>
          <w:sz w:val="20"/>
          <w:szCs w:val="20"/>
        </w:rPr>
        <w:t>s</w:t>
      </w:r>
    </w:p>
    <w:p w14:paraId="066B4E9B" w14:textId="77777777" w:rsidR="00A04862" w:rsidRPr="00A04862" w:rsidRDefault="00A04862" w:rsidP="00A04862">
      <w:pPr>
        <w:rPr>
          <w:rFonts w:cs="Segoe UI"/>
          <w:sz w:val="20"/>
          <w:szCs w:val="20"/>
        </w:rPr>
      </w:pPr>
      <w:r w:rsidRPr="00A04862">
        <w:rPr>
          <w:rFonts w:cs="Segoe UI"/>
          <w:sz w:val="20"/>
          <w:szCs w:val="20"/>
        </w:rPr>
        <w:t>The following data gaps existed when defining the Pedirka PAE</w:t>
      </w:r>
      <w:r w:rsidR="00750389">
        <w:rPr>
          <w:rFonts w:cs="Segoe UI"/>
          <w:sz w:val="20"/>
          <w:szCs w:val="20"/>
        </w:rPr>
        <w:t>:</w:t>
      </w:r>
    </w:p>
    <w:p w14:paraId="502B5C44" w14:textId="77777777" w:rsidR="00F333AF" w:rsidRDefault="00F333AF" w:rsidP="00F333AF">
      <w:pPr>
        <w:pStyle w:val="ListParagraph"/>
        <w:numPr>
          <w:ilvl w:val="0"/>
          <w:numId w:val="5"/>
        </w:numPr>
        <w:rPr>
          <w:rFonts w:ascii="Segoe UI" w:hAnsi="Segoe UI" w:cs="Segoe UI"/>
          <w:sz w:val="20"/>
          <w:szCs w:val="20"/>
        </w:rPr>
      </w:pPr>
      <w:r w:rsidRPr="00BA0756">
        <w:rPr>
          <w:rFonts w:ascii="Segoe UI" w:hAnsi="Segoe UI" w:cs="Segoe UI"/>
          <w:sz w:val="20"/>
          <w:szCs w:val="20"/>
        </w:rPr>
        <w:t>The aquatic ecosystems of the Pedirka region would be amongst the most poorly studied in the LEB, which itself is poorly studied by comparison with coastal catchments.</w:t>
      </w:r>
    </w:p>
    <w:p w14:paraId="34B18635" w14:textId="77777777" w:rsidR="00FA17A3" w:rsidRDefault="00FA17A3" w:rsidP="00FA17A3">
      <w:pPr>
        <w:pStyle w:val="ListParagraph"/>
        <w:numPr>
          <w:ilvl w:val="0"/>
          <w:numId w:val="5"/>
        </w:numPr>
        <w:rPr>
          <w:rFonts w:ascii="Segoe UI" w:hAnsi="Segoe UI" w:cs="Segoe UI"/>
          <w:sz w:val="20"/>
          <w:szCs w:val="20"/>
        </w:rPr>
      </w:pPr>
      <w:r>
        <w:rPr>
          <w:rFonts w:ascii="Segoe UI" w:hAnsi="Segoe UI" w:cs="Segoe UI"/>
          <w:sz w:val="20"/>
          <w:szCs w:val="20"/>
        </w:rPr>
        <w:lastRenderedPageBreak/>
        <w:t>Further investigations are required to gain a greater understanding of the dependency of riparian vegetation in particular floodout forests of Hale, Hay Plenty and Finke rivers upon shallow groundwater systems and the potential impacts of drawdown from mining related activities.</w:t>
      </w:r>
    </w:p>
    <w:p w14:paraId="3303366E" w14:textId="77777777" w:rsidR="00E4159F" w:rsidRPr="00E4159F" w:rsidRDefault="00E4159F" w:rsidP="00E4159F">
      <w:pPr>
        <w:pStyle w:val="ListParagraph"/>
        <w:numPr>
          <w:ilvl w:val="0"/>
          <w:numId w:val="5"/>
        </w:numPr>
        <w:rPr>
          <w:rFonts w:ascii="Segoe UI" w:hAnsi="Segoe UI" w:cs="Segoe UI"/>
          <w:sz w:val="20"/>
          <w:szCs w:val="20"/>
        </w:rPr>
      </w:pPr>
      <w:r w:rsidRPr="00E4159F">
        <w:rPr>
          <w:rFonts w:ascii="Segoe UI" w:hAnsi="Segoe UI" w:cs="Segoe UI"/>
          <w:sz w:val="20"/>
          <w:szCs w:val="20"/>
        </w:rPr>
        <w:t xml:space="preserve">Further modelling information proposed to be undertaken to understand zone of GW drawdown influence to 0.1 (surface level) which may extend the zone of influence further south and east to encompass springs in the Lake Eyre and Mulligan River supergroups.  </w:t>
      </w:r>
    </w:p>
    <w:p w14:paraId="5DB34E93" w14:textId="0360CC6D" w:rsidR="005C38F0" w:rsidRPr="005C38F0" w:rsidRDefault="00A04862" w:rsidP="005C38F0">
      <w:pPr>
        <w:pStyle w:val="ListParagraph"/>
        <w:numPr>
          <w:ilvl w:val="0"/>
          <w:numId w:val="5"/>
        </w:numPr>
        <w:rPr>
          <w:rFonts w:ascii="Segoe UI" w:hAnsi="Segoe UI" w:cs="Segoe UI"/>
          <w:sz w:val="20"/>
          <w:szCs w:val="20"/>
        </w:rPr>
      </w:pPr>
      <w:r w:rsidRPr="005C38F0">
        <w:rPr>
          <w:rFonts w:ascii="Segoe UI" w:hAnsi="Segoe UI" w:cs="Segoe UI"/>
          <w:sz w:val="20"/>
          <w:szCs w:val="20"/>
        </w:rPr>
        <w:t>Exploration</w:t>
      </w:r>
      <w:r w:rsidR="0099001E">
        <w:rPr>
          <w:rFonts w:ascii="Segoe UI" w:hAnsi="Segoe UI" w:cs="Segoe UI"/>
          <w:sz w:val="20"/>
          <w:szCs w:val="20"/>
        </w:rPr>
        <w:t xml:space="preserve"> Licences not available for NT.</w:t>
      </w:r>
    </w:p>
    <w:p w14:paraId="42DA3512" w14:textId="338F1A36" w:rsidR="005C38F0" w:rsidRPr="001360F4" w:rsidRDefault="00A04862" w:rsidP="005C38F0">
      <w:pPr>
        <w:pStyle w:val="ListParagraph"/>
        <w:numPr>
          <w:ilvl w:val="0"/>
          <w:numId w:val="5"/>
        </w:numPr>
        <w:rPr>
          <w:rFonts w:ascii="Segoe UI" w:hAnsi="Segoe UI" w:cs="Segoe UI"/>
          <w:sz w:val="20"/>
          <w:szCs w:val="20"/>
        </w:rPr>
      </w:pPr>
      <w:r w:rsidRPr="005C38F0">
        <w:rPr>
          <w:rFonts w:ascii="Segoe UI" w:hAnsi="Segoe UI" w:cs="Segoe UI"/>
          <w:sz w:val="20"/>
          <w:szCs w:val="20"/>
        </w:rPr>
        <w:t xml:space="preserve">Further relationship information </w:t>
      </w:r>
      <w:r w:rsidR="0099001E">
        <w:rPr>
          <w:rFonts w:ascii="Segoe UI" w:hAnsi="Segoe UI" w:cs="Segoe UI"/>
          <w:sz w:val="20"/>
          <w:szCs w:val="20"/>
        </w:rPr>
        <w:t xml:space="preserve">required to </w:t>
      </w:r>
      <w:r w:rsidRPr="005C38F0">
        <w:rPr>
          <w:rFonts w:ascii="Segoe UI" w:hAnsi="Segoe UI" w:cs="Segoe UI"/>
          <w:sz w:val="20"/>
          <w:szCs w:val="20"/>
        </w:rPr>
        <w:t xml:space="preserve">clarify </w:t>
      </w:r>
      <w:r w:rsidR="004F4C20">
        <w:rPr>
          <w:rFonts w:ascii="Segoe UI" w:hAnsi="Segoe UI" w:cs="Segoe UI"/>
          <w:sz w:val="20"/>
          <w:szCs w:val="20"/>
        </w:rPr>
        <w:t xml:space="preserve">ecological relationships between the Macumba and greater </w:t>
      </w:r>
      <w:r w:rsidRPr="005C38F0">
        <w:rPr>
          <w:rFonts w:ascii="Segoe UI" w:hAnsi="Segoe UI" w:cs="Segoe UI"/>
          <w:sz w:val="20"/>
          <w:szCs w:val="20"/>
        </w:rPr>
        <w:t>Diam</w:t>
      </w:r>
      <w:r w:rsidR="004F4C20">
        <w:rPr>
          <w:rFonts w:ascii="Segoe UI" w:hAnsi="Segoe UI" w:cs="Segoe UI"/>
          <w:sz w:val="20"/>
          <w:szCs w:val="20"/>
        </w:rPr>
        <w:t>a</w:t>
      </w:r>
      <w:r w:rsidRPr="005C38F0">
        <w:rPr>
          <w:rFonts w:ascii="Segoe UI" w:hAnsi="Segoe UI" w:cs="Segoe UI"/>
          <w:sz w:val="20"/>
          <w:szCs w:val="20"/>
        </w:rPr>
        <w:t>ntina</w:t>
      </w:r>
      <w:r w:rsidR="004F4C20">
        <w:rPr>
          <w:rFonts w:ascii="Segoe UI" w:hAnsi="Segoe UI" w:cs="Segoe UI"/>
          <w:sz w:val="20"/>
          <w:szCs w:val="20"/>
        </w:rPr>
        <w:t>-</w:t>
      </w:r>
      <w:r w:rsidRPr="005C38F0">
        <w:rPr>
          <w:rFonts w:ascii="Segoe UI" w:hAnsi="Segoe UI" w:cs="Segoe UI"/>
          <w:sz w:val="20"/>
          <w:szCs w:val="20"/>
        </w:rPr>
        <w:t xml:space="preserve">Georgina </w:t>
      </w:r>
      <w:r w:rsidRPr="001360F4">
        <w:rPr>
          <w:rFonts w:ascii="Segoe UI" w:hAnsi="Segoe UI" w:cs="Segoe UI"/>
          <w:sz w:val="20"/>
          <w:szCs w:val="20"/>
        </w:rPr>
        <w:t>connectivity</w:t>
      </w:r>
      <w:r w:rsidR="00DA7CAB" w:rsidRPr="001360F4">
        <w:rPr>
          <w:rFonts w:ascii="Segoe UI" w:hAnsi="Segoe UI" w:cs="Segoe UI"/>
          <w:sz w:val="20"/>
          <w:szCs w:val="20"/>
        </w:rPr>
        <w:t xml:space="preserve"> (e.g. for fish recruitment,</w:t>
      </w:r>
      <w:r w:rsidR="004F4C20" w:rsidRPr="001360F4">
        <w:rPr>
          <w:rFonts w:ascii="Segoe UI" w:hAnsi="Segoe UI" w:cs="Segoe UI"/>
          <w:sz w:val="20"/>
          <w:szCs w:val="20"/>
        </w:rPr>
        <w:t xml:space="preserve"> </w:t>
      </w:r>
      <w:r w:rsidR="00DA7CAB" w:rsidRPr="001360F4">
        <w:rPr>
          <w:rFonts w:ascii="Segoe UI" w:hAnsi="Segoe UI" w:cs="Segoe UI"/>
          <w:sz w:val="20"/>
          <w:szCs w:val="20"/>
        </w:rPr>
        <w:t>biomass production and genetic resilience)</w:t>
      </w:r>
      <w:r w:rsidRPr="001360F4">
        <w:rPr>
          <w:rFonts w:ascii="Segoe UI" w:hAnsi="Segoe UI" w:cs="Segoe UI"/>
          <w:sz w:val="20"/>
          <w:szCs w:val="20"/>
        </w:rPr>
        <w:t>.</w:t>
      </w:r>
    </w:p>
    <w:p w14:paraId="300DA9EF" w14:textId="38B065BE" w:rsidR="00A04862" w:rsidRDefault="000F52EB" w:rsidP="005C38F0">
      <w:pPr>
        <w:pStyle w:val="ListParagraph"/>
        <w:numPr>
          <w:ilvl w:val="0"/>
          <w:numId w:val="5"/>
        </w:numPr>
        <w:rPr>
          <w:rFonts w:ascii="Segoe UI" w:hAnsi="Segoe UI" w:cs="Segoe UI"/>
          <w:sz w:val="20"/>
          <w:szCs w:val="20"/>
        </w:rPr>
      </w:pPr>
      <w:r>
        <w:rPr>
          <w:rFonts w:ascii="Segoe UI" w:hAnsi="Segoe UI" w:cs="Segoe UI"/>
          <w:sz w:val="20"/>
          <w:szCs w:val="20"/>
        </w:rPr>
        <w:t>The i</w:t>
      </w:r>
      <w:r w:rsidR="00DA7CAB">
        <w:rPr>
          <w:rFonts w:ascii="Segoe UI" w:hAnsi="Segoe UI" w:cs="Segoe UI"/>
          <w:sz w:val="20"/>
          <w:szCs w:val="20"/>
        </w:rPr>
        <w:t>nfluence</w:t>
      </w:r>
      <w:r w:rsidR="00DA7CAB" w:rsidRPr="005C38F0">
        <w:rPr>
          <w:rFonts w:ascii="Segoe UI" w:hAnsi="Segoe UI" w:cs="Segoe UI"/>
          <w:sz w:val="20"/>
          <w:szCs w:val="20"/>
        </w:rPr>
        <w:t xml:space="preserve"> </w:t>
      </w:r>
      <w:r w:rsidR="005C38F0" w:rsidRPr="005C38F0">
        <w:rPr>
          <w:rFonts w:ascii="Segoe UI" w:hAnsi="Segoe UI" w:cs="Segoe UI"/>
          <w:sz w:val="20"/>
          <w:szCs w:val="20"/>
        </w:rPr>
        <w:t xml:space="preserve">of </w:t>
      </w:r>
      <w:r>
        <w:rPr>
          <w:rFonts w:ascii="Segoe UI" w:hAnsi="Segoe UI" w:cs="Segoe UI"/>
          <w:sz w:val="20"/>
          <w:szCs w:val="20"/>
        </w:rPr>
        <w:t xml:space="preserve">the </w:t>
      </w:r>
      <w:r w:rsidR="005C38F0" w:rsidRPr="005C38F0">
        <w:rPr>
          <w:rFonts w:ascii="Segoe UI" w:hAnsi="Segoe UI" w:cs="Segoe UI"/>
          <w:sz w:val="20"/>
          <w:szCs w:val="20"/>
        </w:rPr>
        <w:t xml:space="preserve">Macumba </w:t>
      </w:r>
      <w:r>
        <w:rPr>
          <w:rFonts w:ascii="Segoe UI" w:hAnsi="Segoe UI" w:cs="Segoe UI"/>
          <w:sz w:val="20"/>
          <w:szCs w:val="20"/>
        </w:rPr>
        <w:t xml:space="preserve">River </w:t>
      </w:r>
      <w:r w:rsidR="00DA7CAB">
        <w:rPr>
          <w:rFonts w:ascii="Segoe UI" w:hAnsi="Segoe UI" w:cs="Segoe UI"/>
          <w:sz w:val="20"/>
          <w:szCs w:val="20"/>
        </w:rPr>
        <w:t>on</w:t>
      </w:r>
      <w:r w:rsidR="00DA7CAB" w:rsidRPr="005C38F0">
        <w:rPr>
          <w:rFonts w:ascii="Segoe UI" w:hAnsi="Segoe UI" w:cs="Segoe UI"/>
          <w:sz w:val="20"/>
          <w:szCs w:val="20"/>
        </w:rPr>
        <w:t xml:space="preserve"> </w:t>
      </w:r>
      <w:r w:rsidR="005C38F0" w:rsidRPr="005C38F0">
        <w:rPr>
          <w:rFonts w:ascii="Segoe UI" w:hAnsi="Segoe UI" w:cs="Segoe UI"/>
          <w:sz w:val="20"/>
          <w:szCs w:val="20"/>
        </w:rPr>
        <w:t>Lake Eyre</w:t>
      </w:r>
      <w:r w:rsidR="00A04862" w:rsidRPr="005C38F0">
        <w:rPr>
          <w:rFonts w:ascii="Segoe UI" w:hAnsi="Segoe UI" w:cs="Segoe UI"/>
          <w:sz w:val="20"/>
          <w:szCs w:val="20"/>
        </w:rPr>
        <w:t xml:space="preserve"> </w:t>
      </w:r>
      <w:r>
        <w:rPr>
          <w:rFonts w:ascii="Segoe UI" w:hAnsi="Segoe UI" w:cs="Segoe UI"/>
          <w:sz w:val="20"/>
          <w:szCs w:val="20"/>
        </w:rPr>
        <w:t>is unclear, with</w:t>
      </w:r>
      <w:r w:rsidR="00A04862" w:rsidRPr="005C38F0">
        <w:rPr>
          <w:rFonts w:ascii="Segoe UI" w:hAnsi="Segoe UI" w:cs="Segoe UI"/>
          <w:sz w:val="20"/>
          <w:szCs w:val="20"/>
        </w:rPr>
        <w:t xml:space="preserve"> further research required</w:t>
      </w:r>
      <w:r>
        <w:rPr>
          <w:rFonts w:ascii="Segoe UI" w:hAnsi="Segoe UI" w:cs="Segoe UI"/>
          <w:sz w:val="20"/>
          <w:szCs w:val="20"/>
        </w:rPr>
        <w:t xml:space="preserve">. However, </w:t>
      </w:r>
      <w:r w:rsidR="00A04862" w:rsidRPr="005C38F0">
        <w:rPr>
          <w:rFonts w:ascii="Segoe UI" w:hAnsi="Segoe UI" w:cs="Segoe UI"/>
          <w:sz w:val="20"/>
          <w:szCs w:val="20"/>
        </w:rPr>
        <w:t xml:space="preserve">for the purpose of </w:t>
      </w:r>
      <w:r>
        <w:rPr>
          <w:rFonts w:ascii="Segoe UI" w:hAnsi="Segoe UI" w:cs="Segoe UI"/>
          <w:sz w:val="20"/>
          <w:szCs w:val="20"/>
        </w:rPr>
        <w:t xml:space="preserve">this </w:t>
      </w:r>
      <w:r w:rsidR="00A04862" w:rsidRPr="005C38F0">
        <w:rPr>
          <w:rFonts w:ascii="Segoe UI" w:hAnsi="Segoe UI" w:cs="Segoe UI"/>
          <w:sz w:val="20"/>
          <w:szCs w:val="20"/>
        </w:rPr>
        <w:t>PAE</w:t>
      </w:r>
      <w:r>
        <w:rPr>
          <w:rFonts w:ascii="Segoe UI" w:hAnsi="Segoe UI" w:cs="Segoe UI"/>
          <w:sz w:val="20"/>
          <w:szCs w:val="20"/>
        </w:rPr>
        <w:t>,</w:t>
      </w:r>
      <w:r w:rsidR="00A04862" w:rsidRPr="005C38F0">
        <w:rPr>
          <w:rFonts w:ascii="Segoe UI" w:hAnsi="Segoe UI" w:cs="Segoe UI"/>
          <w:sz w:val="20"/>
          <w:szCs w:val="20"/>
        </w:rPr>
        <w:t xml:space="preserve"> </w:t>
      </w:r>
      <w:r w:rsidR="005C38F0" w:rsidRPr="005C38F0">
        <w:rPr>
          <w:rFonts w:ascii="Segoe UI" w:hAnsi="Segoe UI" w:cs="Segoe UI"/>
          <w:sz w:val="20"/>
          <w:szCs w:val="20"/>
        </w:rPr>
        <w:t xml:space="preserve">Lake Eyre </w:t>
      </w:r>
      <w:r>
        <w:rPr>
          <w:rFonts w:ascii="Segoe UI" w:hAnsi="Segoe UI" w:cs="Segoe UI"/>
          <w:sz w:val="20"/>
          <w:szCs w:val="20"/>
        </w:rPr>
        <w:t xml:space="preserve">has been </w:t>
      </w:r>
      <w:r w:rsidR="00A04862" w:rsidRPr="005C38F0">
        <w:rPr>
          <w:rFonts w:ascii="Segoe UI" w:hAnsi="Segoe UI" w:cs="Segoe UI"/>
          <w:sz w:val="20"/>
          <w:szCs w:val="20"/>
        </w:rPr>
        <w:t>exclude</w:t>
      </w:r>
      <w:r w:rsidR="00DA7CAB">
        <w:rPr>
          <w:rFonts w:ascii="Segoe UI" w:hAnsi="Segoe UI" w:cs="Segoe UI"/>
          <w:sz w:val="20"/>
          <w:szCs w:val="20"/>
        </w:rPr>
        <w:t>d</w:t>
      </w:r>
      <w:r w:rsidR="0099001E">
        <w:rPr>
          <w:rFonts w:ascii="Segoe UI" w:hAnsi="Segoe UI" w:cs="Segoe UI"/>
          <w:sz w:val="20"/>
          <w:szCs w:val="20"/>
        </w:rPr>
        <w:t>.</w:t>
      </w:r>
    </w:p>
    <w:p w14:paraId="00837D62" w14:textId="1F3B6A03" w:rsidR="00BA0756" w:rsidRDefault="00D35A85" w:rsidP="000776C2">
      <w:pPr>
        <w:pStyle w:val="ListParagraph"/>
        <w:numPr>
          <w:ilvl w:val="0"/>
          <w:numId w:val="5"/>
        </w:numPr>
        <w:rPr>
          <w:rFonts w:ascii="Segoe UI" w:hAnsi="Segoe UI" w:cs="Segoe UI"/>
          <w:sz w:val="20"/>
          <w:szCs w:val="20"/>
        </w:rPr>
      </w:pPr>
      <w:r w:rsidRPr="00BA0756">
        <w:rPr>
          <w:rFonts w:ascii="Segoe UI" w:hAnsi="Segoe UI" w:cs="Segoe UI"/>
          <w:sz w:val="20"/>
          <w:szCs w:val="20"/>
        </w:rPr>
        <w:t xml:space="preserve">Based on current level of knowledge, there is flow in the GAB in the north east portion of the Pedirka PAE towards the Mulligan River supergroup of Springs, which are EPBC listed GAB springs. These are assumed to be recharged from flow in rivers in this region.  There is potential that a reduction in pressure within the PAE could reverse the flow paths away from the Mulligan River springs or reduce </w:t>
      </w:r>
      <w:r w:rsidR="00FA17A3">
        <w:rPr>
          <w:rFonts w:ascii="Segoe UI" w:hAnsi="Segoe UI" w:cs="Segoe UI"/>
          <w:sz w:val="20"/>
          <w:szCs w:val="20"/>
        </w:rPr>
        <w:t xml:space="preserve">pressure to them.  However, due to the depths of tertiary sediments and distance from the coal beds, these have been excluded due to an unlikely hydrological connectivity. </w:t>
      </w:r>
      <w:r w:rsidRPr="00BA0756">
        <w:rPr>
          <w:rFonts w:ascii="Segoe UI" w:hAnsi="Segoe UI" w:cs="Segoe UI"/>
          <w:sz w:val="20"/>
          <w:szCs w:val="20"/>
        </w:rPr>
        <w:t>Further research on hydrogeology in this region should inform future decision to include or exclude these springs.</w:t>
      </w:r>
    </w:p>
    <w:p w14:paraId="65A759AC" w14:textId="77777777" w:rsidR="00197215" w:rsidRDefault="00197215" w:rsidP="00197215">
      <w:pPr>
        <w:pStyle w:val="ListParagraph"/>
        <w:rPr>
          <w:rFonts w:ascii="Segoe UI" w:hAnsi="Segoe UI" w:cs="Segoe UI"/>
          <w:sz w:val="20"/>
          <w:szCs w:val="20"/>
        </w:rPr>
      </w:pPr>
    </w:p>
    <w:p w14:paraId="18810D1E" w14:textId="5C95076A" w:rsidR="005C38F0" w:rsidRDefault="00FA17A3" w:rsidP="002A4322">
      <w:pPr>
        <w:pStyle w:val="Heading3"/>
      </w:pPr>
      <w:bookmarkStart w:id="12" w:name="_Toc394076583"/>
      <w:r>
        <w:t xml:space="preserve">PAE </w:t>
      </w:r>
      <w:r w:rsidR="002A4322">
        <w:t>Data</w:t>
      </w:r>
      <w:r>
        <w:t>base</w:t>
      </w:r>
      <w:r w:rsidR="002A4322">
        <w:t xml:space="preserve"> Location</w:t>
      </w:r>
      <w:bookmarkEnd w:id="12"/>
    </w:p>
    <w:p w14:paraId="39AC2598" w14:textId="1C5A236B" w:rsidR="00D934CC" w:rsidRDefault="009B1208" w:rsidP="00D934CC">
      <w:pPr>
        <w:rPr>
          <w:rFonts w:cs="Segoe UI"/>
          <w:sz w:val="20"/>
          <w:szCs w:val="20"/>
        </w:rPr>
      </w:pPr>
      <w:r>
        <w:rPr>
          <w:rFonts w:cs="Segoe UI"/>
          <w:sz w:val="20"/>
          <w:szCs w:val="20"/>
        </w:rPr>
        <w:t>B</w:t>
      </w:r>
      <w:r w:rsidR="00D934CC" w:rsidRPr="00D934CC">
        <w:rPr>
          <w:rFonts w:cs="Segoe UI"/>
          <w:sz w:val="20"/>
          <w:szCs w:val="20"/>
        </w:rPr>
        <w:t>elow is a</w:t>
      </w:r>
      <w:r>
        <w:rPr>
          <w:rFonts w:cs="Segoe UI"/>
          <w:sz w:val="20"/>
          <w:szCs w:val="20"/>
        </w:rPr>
        <w:t>n image</w:t>
      </w:r>
      <w:r w:rsidR="00D934CC" w:rsidRPr="00D934CC">
        <w:rPr>
          <w:rFonts w:cs="Segoe UI"/>
          <w:sz w:val="20"/>
          <w:szCs w:val="20"/>
        </w:rPr>
        <w:t xml:space="preserve"> of the </w:t>
      </w:r>
      <w:proofErr w:type="spellStart"/>
      <w:r w:rsidR="00D934CC" w:rsidRPr="00D934CC">
        <w:rPr>
          <w:rFonts w:cs="Segoe UI"/>
          <w:sz w:val="20"/>
          <w:szCs w:val="20"/>
        </w:rPr>
        <w:t>geodatabases</w:t>
      </w:r>
      <w:proofErr w:type="spellEnd"/>
      <w:r w:rsidR="00D934CC" w:rsidRPr="00D934CC">
        <w:rPr>
          <w:rFonts w:cs="Segoe UI"/>
          <w:sz w:val="20"/>
          <w:szCs w:val="20"/>
        </w:rPr>
        <w:t xml:space="preserve"> as they appear in Arc GIS</w:t>
      </w:r>
      <w:r>
        <w:rPr>
          <w:rFonts w:cs="Segoe UI"/>
          <w:sz w:val="20"/>
          <w:szCs w:val="20"/>
        </w:rPr>
        <w:t>:</w:t>
      </w:r>
    </w:p>
    <w:p w14:paraId="38E92A23" w14:textId="77777777" w:rsidR="00E4159F" w:rsidRPr="00D934CC" w:rsidRDefault="00E4159F" w:rsidP="00D934CC">
      <w:pPr>
        <w:rPr>
          <w:rFonts w:cs="Segoe UI"/>
          <w:sz w:val="20"/>
          <w:szCs w:val="20"/>
        </w:rPr>
      </w:pPr>
    </w:p>
    <w:p w14:paraId="3AB702C0" w14:textId="7FD19892" w:rsidR="00D934CC" w:rsidRDefault="00ED43EB" w:rsidP="00D934CC">
      <w:r>
        <w:rPr>
          <w:noProof/>
          <w:color w:val="1F497D"/>
          <w:lang w:eastAsia="en-AU"/>
        </w:rPr>
        <w:drawing>
          <wp:inline distT="0" distB="0" distL="0" distR="0" wp14:anchorId="336F49FF" wp14:editId="3060F220">
            <wp:extent cx="2691993" cy="2953900"/>
            <wp:effectExtent l="0" t="0" r="0" b="0"/>
            <wp:docPr id="3" name="Picture 3" descr="cid:image007.jpg@01CFA822.32F6E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image007.jpg@01CFA822.32F6E730"/>
                    <pic:cNvPicPr>
                      <a:picLocks noChangeAspect="1" noChangeArrowheads="1"/>
                    </pic:cNvPicPr>
                  </pic:nvPicPr>
                  <pic:blipFill>
                    <a:blip r:embed="rId17" r:link="rId18">
                      <a:extLst>
                        <a:ext uri="{28A0092B-C50C-407E-A947-70E740481C1C}">
                          <a14:useLocalDpi xmlns:a14="http://schemas.microsoft.com/office/drawing/2010/main" val="0"/>
                        </a:ext>
                      </a:extLst>
                    </a:blip>
                    <a:srcRect/>
                    <a:stretch>
                      <a:fillRect/>
                    </a:stretch>
                  </pic:blipFill>
                  <pic:spPr bwMode="auto">
                    <a:xfrm>
                      <a:off x="0" y="0"/>
                      <a:ext cx="2707619" cy="2971046"/>
                    </a:xfrm>
                    <a:prstGeom prst="rect">
                      <a:avLst/>
                    </a:prstGeom>
                    <a:noFill/>
                    <a:ln>
                      <a:noFill/>
                    </a:ln>
                  </pic:spPr>
                </pic:pic>
              </a:graphicData>
            </a:graphic>
          </wp:inline>
        </w:drawing>
      </w:r>
    </w:p>
    <w:p w14:paraId="4330E89C" w14:textId="77777777" w:rsidR="006D1D1F" w:rsidRDefault="006D1D1F" w:rsidP="00D934CC"/>
    <w:p w14:paraId="2B17C4DF" w14:textId="77777777" w:rsidR="006D1D1F" w:rsidRDefault="006D1D1F" w:rsidP="00D934CC"/>
    <w:p w14:paraId="49E8739B" w14:textId="77777777" w:rsidR="006D1D1F" w:rsidRDefault="006D1D1F" w:rsidP="00D934CC"/>
    <w:p w14:paraId="2806AAB8" w14:textId="77777777" w:rsidR="006D1D1F" w:rsidRDefault="006D1D1F">
      <w:pPr>
        <w:spacing w:after="0"/>
        <w:rPr>
          <w:rFonts w:eastAsia="Times New Roman"/>
          <w:b/>
          <w:caps/>
          <w:sz w:val="32"/>
          <w:lang w:val="en-GB"/>
        </w:rPr>
      </w:pPr>
      <w:r>
        <w:br w:type="page"/>
      </w:r>
    </w:p>
    <w:p w14:paraId="22D00D44" w14:textId="77777777" w:rsidR="006D1D1F" w:rsidRDefault="006D1D1F" w:rsidP="006D1D1F">
      <w:pPr>
        <w:pStyle w:val="Heading1"/>
      </w:pPr>
      <w:bookmarkStart w:id="13" w:name="_Toc394076584"/>
      <w:r>
        <w:lastRenderedPageBreak/>
        <w:t>Figures</w:t>
      </w:r>
      <w:bookmarkEnd w:id="13"/>
    </w:p>
    <w:p w14:paraId="2D5DB1DF" w14:textId="2EDE03E3" w:rsidR="006D1D1F" w:rsidRDefault="006D1D1F" w:rsidP="006D1D1F">
      <w:r>
        <w:t>Figure 1. Arckaringa PAE Revision 1.0</w:t>
      </w:r>
    </w:p>
    <w:p w14:paraId="1647D730" w14:textId="27AE2D5D" w:rsidR="006D1D1F" w:rsidRDefault="006D1D1F" w:rsidP="006D1D1F">
      <w:r w:rsidRPr="006D1D1F">
        <w:rPr>
          <w:noProof/>
          <w:lang w:eastAsia="en-AU"/>
        </w:rPr>
        <w:drawing>
          <wp:inline distT="0" distB="0" distL="0" distR="0" wp14:anchorId="7CF3C30A" wp14:editId="22F97B40">
            <wp:extent cx="6300470" cy="4456193"/>
            <wp:effectExtent l="0" t="0" r="5080" b="1905"/>
            <wp:docPr id="10" name="Picture 10" descr="Q:\Corporate Science Information\Science Monitoring Information\Science\CSG and Coal NPA\LEB Rivers\PAE\Final\Arckaringa_PA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Q:\Corporate Science Information\Science Monitoring Information\Science\CSG and Coal NPA\LEB Rivers\PAE\Final\Arckaringa_PAE.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300470" cy="4456193"/>
                    </a:xfrm>
                    <a:prstGeom prst="rect">
                      <a:avLst/>
                    </a:prstGeom>
                    <a:noFill/>
                    <a:ln>
                      <a:noFill/>
                    </a:ln>
                  </pic:spPr>
                </pic:pic>
              </a:graphicData>
            </a:graphic>
          </wp:inline>
        </w:drawing>
      </w:r>
    </w:p>
    <w:p w14:paraId="31660743" w14:textId="77777777" w:rsidR="006D1D1F" w:rsidRDefault="006D1D1F">
      <w:pPr>
        <w:spacing w:after="0"/>
      </w:pPr>
      <w:r>
        <w:br w:type="page"/>
      </w:r>
    </w:p>
    <w:p w14:paraId="7E7D92BF" w14:textId="57FA1E37" w:rsidR="006D1D1F" w:rsidRDefault="006D1D1F" w:rsidP="006D1D1F">
      <w:r>
        <w:lastRenderedPageBreak/>
        <w:t>Figure 2. Pedirka PAE Revision 1.0</w:t>
      </w:r>
    </w:p>
    <w:p w14:paraId="47DA9016" w14:textId="14287A5E" w:rsidR="00C97C82" w:rsidRDefault="00C97C82" w:rsidP="006D1D1F">
      <w:r w:rsidRPr="00C97C82">
        <w:rPr>
          <w:noProof/>
          <w:lang w:eastAsia="en-AU"/>
        </w:rPr>
        <w:drawing>
          <wp:inline distT="0" distB="0" distL="0" distR="0" wp14:anchorId="640DD38F" wp14:editId="3879D20B">
            <wp:extent cx="5958813" cy="8424977"/>
            <wp:effectExtent l="0" t="0" r="4445" b="0"/>
            <wp:docPr id="12" name="Picture 12" descr="Q:\Corporate Science Information\Science Monitoring Information\Science\CSG and Coal NPA\LEB Rivers\PAE\Final\Pedirka_PA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Q:\Corporate Science Information\Science Monitoring Information\Science\CSG and Coal NPA\LEB Rivers\PAE\Final\Pedirka_PAE.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60022" cy="8426687"/>
                    </a:xfrm>
                    <a:prstGeom prst="rect">
                      <a:avLst/>
                    </a:prstGeom>
                    <a:noFill/>
                    <a:ln>
                      <a:noFill/>
                    </a:ln>
                  </pic:spPr>
                </pic:pic>
              </a:graphicData>
            </a:graphic>
          </wp:inline>
        </w:drawing>
      </w:r>
    </w:p>
    <w:p w14:paraId="5A8235DB" w14:textId="26EC78BF" w:rsidR="006D1D1F" w:rsidRDefault="00C97C82" w:rsidP="006D1D1F">
      <w:r>
        <w:lastRenderedPageBreak/>
        <w:t>Figure 3.</w:t>
      </w:r>
      <w:r w:rsidR="006D1D1F">
        <w:t xml:space="preserve"> Modelled draw down extent</w:t>
      </w:r>
    </w:p>
    <w:p w14:paraId="0BE0D8B6" w14:textId="6D4E180E" w:rsidR="006D1D1F" w:rsidRDefault="006D1D1F" w:rsidP="006D1D1F">
      <w:r w:rsidRPr="006D1D1F">
        <w:rPr>
          <w:noProof/>
          <w:lang w:eastAsia="en-AU"/>
        </w:rPr>
        <w:drawing>
          <wp:inline distT="0" distB="0" distL="0" distR="0" wp14:anchorId="2F934BF0" wp14:editId="2B52CBF9">
            <wp:extent cx="5566867" cy="7870816"/>
            <wp:effectExtent l="0" t="0" r="0" b="0"/>
            <wp:docPr id="4" name="Picture 4" descr="Q:\Corporate Science Information\Science Monitoring Information\Science\CSG and Coal NPA\LEB Rivers\PAE\Final\Modeled Drawdow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Q:\Corporate Science Information\Science Monitoring Information\Science\CSG and Coal NPA\LEB Rivers\PAE\Final\Modeled Drawdown.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570153" cy="7875462"/>
                    </a:xfrm>
                    <a:prstGeom prst="rect">
                      <a:avLst/>
                    </a:prstGeom>
                    <a:noFill/>
                    <a:ln>
                      <a:noFill/>
                    </a:ln>
                  </pic:spPr>
                </pic:pic>
              </a:graphicData>
            </a:graphic>
          </wp:inline>
        </w:drawing>
      </w:r>
    </w:p>
    <w:p w14:paraId="2267DBBC" w14:textId="77777777" w:rsidR="006D1D1F" w:rsidRDefault="006D1D1F" w:rsidP="006D1D1F"/>
    <w:p w14:paraId="38E9DB68" w14:textId="77777777" w:rsidR="00C97C82" w:rsidRDefault="00C97C82" w:rsidP="006D1D1F"/>
    <w:p w14:paraId="45CF13F5" w14:textId="49476273" w:rsidR="006D1D1F" w:rsidRDefault="006D1D1F" w:rsidP="006D1D1F">
      <w:r>
        <w:lastRenderedPageBreak/>
        <w:t xml:space="preserve">Figure </w:t>
      </w:r>
      <w:r w:rsidR="00C97C82">
        <w:t>4.</w:t>
      </w:r>
      <w:r>
        <w:t xml:space="preserve"> Phreatic Surface - Arckaringa</w:t>
      </w:r>
    </w:p>
    <w:p w14:paraId="53FA23D0" w14:textId="5493D36D" w:rsidR="006D1D1F" w:rsidRDefault="006D1D1F" w:rsidP="006D1D1F">
      <w:r w:rsidRPr="006D1D1F">
        <w:rPr>
          <w:noProof/>
          <w:lang w:eastAsia="en-AU"/>
        </w:rPr>
        <w:drawing>
          <wp:inline distT="0" distB="0" distL="0" distR="0" wp14:anchorId="73074E38" wp14:editId="778504C0">
            <wp:extent cx="4052620" cy="2866335"/>
            <wp:effectExtent l="0" t="0" r="5080" b="0"/>
            <wp:docPr id="5" name="Picture 5" descr="Q:\Corporate Science Information\Science Monitoring Information\Science\CSG and Coal NPA\LEB Rivers\PAE\Final\Arckaringa Phreatic Surfa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Q:\Corporate Science Information\Science Monitoring Information\Science\CSG and Coal NPA\LEB Rivers\PAE\Final\Arckaringa Phreatic Surface.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054829" cy="2867897"/>
                    </a:xfrm>
                    <a:prstGeom prst="rect">
                      <a:avLst/>
                    </a:prstGeom>
                    <a:noFill/>
                    <a:ln>
                      <a:noFill/>
                    </a:ln>
                  </pic:spPr>
                </pic:pic>
              </a:graphicData>
            </a:graphic>
          </wp:inline>
        </w:drawing>
      </w:r>
    </w:p>
    <w:p w14:paraId="1D9EFD67" w14:textId="663D5A84" w:rsidR="006D1D1F" w:rsidRDefault="006D1D1F" w:rsidP="006D1D1F">
      <w:r>
        <w:t xml:space="preserve">Figure </w:t>
      </w:r>
      <w:r w:rsidR="00C97C82">
        <w:t>5.</w:t>
      </w:r>
      <w:r>
        <w:t xml:space="preserve"> Phreatic Surface – Pedirka</w:t>
      </w:r>
    </w:p>
    <w:p w14:paraId="7E959366" w14:textId="1752C606" w:rsidR="006D1D1F" w:rsidRDefault="006D1D1F" w:rsidP="006D1D1F">
      <w:r w:rsidRPr="006D1D1F">
        <w:rPr>
          <w:noProof/>
          <w:lang w:eastAsia="en-AU"/>
        </w:rPr>
        <w:drawing>
          <wp:inline distT="0" distB="0" distL="0" distR="0" wp14:anchorId="0F9ADD50" wp14:editId="3C534F4C">
            <wp:extent cx="3513071" cy="4967020"/>
            <wp:effectExtent l="0" t="0" r="0" b="5080"/>
            <wp:docPr id="6" name="Picture 6" descr="Q:\Corporate Science Information\Science Monitoring Information\Science\CSG and Coal NPA\LEB Rivers\PAE\Final\Pedirka Phreatic Surfa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Q:\Corporate Science Information\Science Monitoring Information\Science\CSG and Coal NPA\LEB Rivers\PAE\Final\Pedirka Phreatic Surface.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514296" cy="4968752"/>
                    </a:xfrm>
                    <a:prstGeom prst="rect">
                      <a:avLst/>
                    </a:prstGeom>
                    <a:noFill/>
                    <a:ln>
                      <a:noFill/>
                    </a:ln>
                  </pic:spPr>
                </pic:pic>
              </a:graphicData>
            </a:graphic>
          </wp:inline>
        </w:drawing>
      </w:r>
    </w:p>
    <w:p w14:paraId="0D5FA50D" w14:textId="5058EB33" w:rsidR="00EE17C6" w:rsidRDefault="00EE17C6" w:rsidP="006D1D1F">
      <w:r>
        <w:br w:type="page"/>
      </w:r>
    </w:p>
    <w:p w14:paraId="541C8F63" w14:textId="0D32CBB7" w:rsidR="00EE17C6" w:rsidRDefault="00EE17C6" w:rsidP="00433FAF">
      <w:pPr>
        <w:pStyle w:val="Heading1"/>
        <w:numPr>
          <w:ilvl w:val="0"/>
          <w:numId w:val="0"/>
        </w:numPr>
        <w:ind w:left="432" w:hanging="432"/>
      </w:pPr>
      <w:bookmarkStart w:id="14" w:name="_Toc394076585"/>
      <w:r>
        <w:lastRenderedPageBreak/>
        <w:t xml:space="preserve">Appendix </w:t>
      </w:r>
      <w:r>
        <w:fldChar w:fldCharType="begin"/>
      </w:r>
      <w:r>
        <w:instrText xml:space="preserve"> SEQ Appendix_1. \* ARABIC </w:instrText>
      </w:r>
      <w:r>
        <w:fldChar w:fldCharType="separate"/>
      </w:r>
      <w:r w:rsidR="001A6BA8">
        <w:rPr>
          <w:noProof/>
        </w:rPr>
        <w:t>1</w:t>
      </w:r>
      <w:r>
        <w:fldChar w:fldCharType="end"/>
      </w:r>
      <w:r>
        <w:t xml:space="preserve">. </w:t>
      </w:r>
      <w:r w:rsidRPr="00433FAF">
        <w:rPr>
          <w:b w:val="0"/>
        </w:rPr>
        <w:t>Summary Methodology of DEWNR Preliminary Stage 1 Groundwater Modelling for the Pedirka Basin.</w:t>
      </w:r>
      <w:bookmarkEnd w:id="14"/>
    </w:p>
    <w:p w14:paraId="0AD27471" w14:textId="59ADAE9F" w:rsidR="001A6BA8" w:rsidRPr="00A60529" w:rsidRDefault="00A60529" w:rsidP="001A6BA8">
      <w:pPr>
        <w:rPr>
          <w:rFonts w:ascii="Calibri" w:hAnsi="Calibri" w:cs="Calibri"/>
          <w:b/>
          <w:i/>
        </w:rPr>
      </w:pPr>
      <w:r w:rsidRPr="00A60529">
        <w:rPr>
          <w:rFonts w:ascii="Calibri" w:hAnsi="Calibri" w:cs="Calibri"/>
          <w:b/>
          <w:i/>
        </w:rPr>
        <w:t xml:space="preserve">Extracts from the </w:t>
      </w:r>
      <w:proofErr w:type="spellStart"/>
      <w:r w:rsidRPr="00A60529">
        <w:rPr>
          <w:rFonts w:ascii="Calibri" w:hAnsi="Calibri" w:cs="Calibri"/>
          <w:b/>
          <w:i/>
        </w:rPr>
        <w:t>Pedirka</w:t>
      </w:r>
      <w:proofErr w:type="spellEnd"/>
      <w:r w:rsidRPr="00A60529">
        <w:rPr>
          <w:rFonts w:ascii="Calibri" w:hAnsi="Calibri" w:cs="Calibri"/>
          <w:b/>
          <w:i/>
        </w:rPr>
        <w:t xml:space="preserve"> Modelling report (Peat et al. 2014 – in prep) are presented below to support the development of the </w:t>
      </w:r>
      <w:proofErr w:type="spellStart"/>
      <w:r w:rsidRPr="00A60529">
        <w:rPr>
          <w:rFonts w:ascii="Calibri" w:hAnsi="Calibri" w:cs="Calibri"/>
          <w:b/>
          <w:i/>
        </w:rPr>
        <w:t>Arckaringa</w:t>
      </w:r>
      <w:proofErr w:type="spellEnd"/>
      <w:r w:rsidRPr="00A60529">
        <w:rPr>
          <w:rFonts w:ascii="Calibri" w:hAnsi="Calibri" w:cs="Calibri"/>
          <w:b/>
          <w:i/>
        </w:rPr>
        <w:t xml:space="preserve"> and </w:t>
      </w:r>
      <w:proofErr w:type="spellStart"/>
      <w:r w:rsidRPr="00A60529">
        <w:rPr>
          <w:rFonts w:ascii="Calibri" w:hAnsi="Calibri" w:cs="Calibri"/>
          <w:b/>
          <w:i/>
        </w:rPr>
        <w:t>Pedirka</w:t>
      </w:r>
      <w:proofErr w:type="spellEnd"/>
      <w:r w:rsidRPr="00A60529">
        <w:rPr>
          <w:rFonts w:ascii="Calibri" w:hAnsi="Calibri" w:cs="Calibri"/>
          <w:b/>
          <w:i/>
        </w:rPr>
        <w:t xml:space="preserve"> Preliminary Assessment Extents.</w:t>
      </w:r>
    </w:p>
    <w:p w14:paraId="3AD6E1DD" w14:textId="7892C691" w:rsidR="001A6BA8" w:rsidRPr="00210F9E" w:rsidRDefault="00A60529" w:rsidP="001A6BA8">
      <w:pPr>
        <w:rPr>
          <w:rFonts w:ascii="Calibri" w:hAnsi="Calibri" w:cs="Calibri"/>
          <w:b/>
        </w:rPr>
      </w:pPr>
      <w:r>
        <w:rPr>
          <w:rFonts w:ascii="Calibri" w:hAnsi="Calibri" w:cs="Calibri"/>
          <w:b/>
        </w:rPr>
        <w:t>Overview</w:t>
      </w:r>
    </w:p>
    <w:p w14:paraId="60A3B426" w14:textId="77777777" w:rsidR="001A6BA8" w:rsidRPr="00EF487D" w:rsidRDefault="001A6BA8" w:rsidP="001A6BA8">
      <w:pPr>
        <w:spacing w:after="120"/>
        <w:rPr>
          <w:rFonts w:ascii="Calibri" w:eastAsia="Times New Roman" w:hAnsi="Calibri" w:cs="Calibri"/>
          <w:sz w:val="22"/>
          <w:szCs w:val="20"/>
        </w:rPr>
      </w:pPr>
      <w:r w:rsidRPr="00EF487D">
        <w:rPr>
          <w:rFonts w:ascii="Calibri" w:eastAsia="Times New Roman" w:hAnsi="Calibri" w:cs="Calibri"/>
          <w:sz w:val="22"/>
          <w:szCs w:val="20"/>
        </w:rPr>
        <w:t>The Australian Government, through the Department of the Environment Office for Water Science (OWS) funded the South Australian Government to undertake groundwater assessment projects in the Arckaringa Basin and the Pedirka Basin in recognition of coal mining and CSG development potential. A numerical groundwater model of the Pedirka Basin was developed as part of the Pedirka Basin groundwater assessment project. The following text is an extract of sections from the Pedirka modelling report which is in final draft stage (Peat et al. 2014 – in prep.).</w:t>
      </w:r>
    </w:p>
    <w:p w14:paraId="0342FFFB" w14:textId="77777777" w:rsidR="001A6BA8" w:rsidRDefault="001A6BA8" w:rsidP="001A6BA8">
      <w:pPr>
        <w:pStyle w:val="Reporttext"/>
        <w:spacing w:before="0" w:after="120"/>
        <w:rPr>
          <w:rFonts w:cs="Calibri"/>
          <w:color w:val="auto"/>
        </w:rPr>
      </w:pPr>
      <w:r w:rsidRPr="00D109F1">
        <w:rPr>
          <w:rFonts w:cs="Calibri"/>
          <w:color w:val="auto"/>
        </w:rPr>
        <w:t xml:space="preserve">The purpose of the modelling exercise </w:t>
      </w:r>
      <w:r>
        <w:rPr>
          <w:rFonts w:cs="Calibri"/>
          <w:color w:val="auto"/>
        </w:rPr>
        <w:t>was</w:t>
      </w:r>
      <w:r w:rsidRPr="00D109F1">
        <w:rPr>
          <w:rFonts w:cs="Calibri"/>
          <w:color w:val="auto"/>
        </w:rPr>
        <w:t xml:space="preserve"> to improve our understanding </w:t>
      </w:r>
      <w:r>
        <w:rPr>
          <w:rFonts w:cs="Calibri"/>
          <w:color w:val="auto"/>
        </w:rPr>
        <w:t>of the regional groundwater system:</w:t>
      </w:r>
    </w:p>
    <w:p w14:paraId="3C63026C" w14:textId="77777777" w:rsidR="001A6BA8" w:rsidRDefault="001A6BA8" w:rsidP="001A6BA8">
      <w:pPr>
        <w:pStyle w:val="Reporttext"/>
        <w:numPr>
          <w:ilvl w:val="0"/>
          <w:numId w:val="15"/>
        </w:numPr>
        <w:spacing w:before="0" w:after="120"/>
        <w:rPr>
          <w:rFonts w:cs="Calibri"/>
          <w:color w:val="auto"/>
        </w:rPr>
      </w:pPr>
      <w:r>
        <w:rPr>
          <w:rFonts w:cs="Calibri"/>
          <w:color w:val="auto"/>
        </w:rPr>
        <w:t xml:space="preserve">By </w:t>
      </w:r>
      <w:r w:rsidRPr="00D109F1">
        <w:rPr>
          <w:rFonts w:cs="Calibri"/>
          <w:color w:val="auto"/>
        </w:rPr>
        <w:t xml:space="preserve">testing our current conceptual model, </w:t>
      </w:r>
    </w:p>
    <w:p w14:paraId="3D60B298" w14:textId="77777777" w:rsidR="001A6BA8" w:rsidRDefault="001A6BA8" w:rsidP="001A6BA8">
      <w:pPr>
        <w:pStyle w:val="Reporttext"/>
        <w:numPr>
          <w:ilvl w:val="0"/>
          <w:numId w:val="15"/>
        </w:numPr>
        <w:spacing w:before="0" w:after="120"/>
        <w:rPr>
          <w:rFonts w:cs="Calibri"/>
          <w:color w:val="auto"/>
        </w:rPr>
      </w:pPr>
      <w:r>
        <w:rPr>
          <w:rFonts w:cs="Calibri"/>
          <w:color w:val="auto"/>
        </w:rPr>
        <w:t>P</w:t>
      </w:r>
      <w:r w:rsidRPr="00D109F1">
        <w:rPr>
          <w:rFonts w:cs="Calibri"/>
          <w:color w:val="auto"/>
        </w:rPr>
        <w:t xml:space="preserve">roviding an estimation of regional scale water balance, </w:t>
      </w:r>
    </w:p>
    <w:p w14:paraId="41B03507" w14:textId="77777777" w:rsidR="001A6BA8" w:rsidRDefault="001A6BA8" w:rsidP="001A6BA8">
      <w:pPr>
        <w:pStyle w:val="Reporttext"/>
        <w:numPr>
          <w:ilvl w:val="0"/>
          <w:numId w:val="15"/>
        </w:numPr>
        <w:spacing w:before="0" w:after="120"/>
        <w:rPr>
          <w:rFonts w:cs="Calibri"/>
          <w:color w:val="auto"/>
        </w:rPr>
      </w:pPr>
      <w:r>
        <w:rPr>
          <w:rFonts w:cs="Calibri"/>
          <w:color w:val="auto"/>
        </w:rPr>
        <w:t>C</w:t>
      </w:r>
      <w:r w:rsidRPr="00D109F1">
        <w:rPr>
          <w:rFonts w:cs="Calibri"/>
          <w:color w:val="auto"/>
        </w:rPr>
        <w:t xml:space="preserve">onduct sensitivity testing and </w:t>
      </w:r>
    </w:p>
    <w:p w14:paraId="1FEF3625" w14:textId="77777777" w:rsidR="001A6BA8" w:rsidRDefault="001A6BA8" w:rsidP="001A6BA8">
      <w:pPr>
        <w:pStyle w:val="Reporttext"/>
        <w:numPr>
          <w:ilvl w:val="0"/>
          <w:numId w:val="15"/>
        </w:numPr>
        <w:spacing w:before="0" w:after="120"/>
        <w:rPr>
          <w:rFonts w:cs="Calibri"/>
          <w:color w:val="auto"/>
        </w:rPr>
      </w:pPr>
      <w:r>
        <w:rPr>
          <w:rFonts w:cs="Calibri"/>
          <w:color w:val="auto"/>
        </w:rPr>
        <w:t>D</w:t>
      </w:r>
      <w:r w:rsidRPr="00D109F1">
        <w:rPr>
          <w:rFonts w:cs="Calibri"/>
          <w:color w:val="auto"/>
        </w:rPr>
        <w:t xml:space="preserve">efine data and knowledge gaps. </w:t>
      </w:r>
    </w:p>
    <w:p w14:paraId="36FCF2CC" w14:textId="77777777" w:rsidR="001A6BA8" w:rsidRPr="00210F9E" w:rsidRDefault="001A6BA8" w:rsidP="001A6BA8">
      <w:pPr>
        <w:pStyle w:val="Reporttext"/>
        <w:spacing w:before="0" w:after="120"/>
        <w:ind w:left="57"/>
        <w:rPr>
          <w:rFonts w:cs="Calibri"/>
          <w:color w:val="auto"/>
        </w:rPr>
      </w:pPr>
      <w:r w:rsidRPr="00D109F1">
        <w:rPr>
          <w:rFonts w:cs="Calibri"/>
          <w:color w:val="auto"/>
        </w:rPr>
        <w:t>A regional scale MODFLOW model has been developed for the Pedirka Basin using available data and current information, and is defined as Class 1 (Barnett et al., 2012). A steady state model was developed that simulates a long term average condition and assumes a higher rate of diffuse recharge occurring in the past. The steady state model result for water level is used as initial conditions to run the transient model, which simulates the main processes occurring in the basin in the past, present and into the future and therefore includes simulation of the current condition.</w:t>
      </w:r>
      <w:r>
        <w:rPr>
          <w:rFonts w:cs="Calibri"/>
          <w:color w:val="auto"/>
        </w:rPr>
        <w:t xml:space="preserve"> </w:t>
      </w:r>
      <w:r w:rsidRPr="00210F9E">
        <w:rPr>
          <w:color w:val="auto"/>
        </w:rPr>
        <w:t>The transient model simulates a period of 100 000 years to represent changing conditions in the hydrogeological system and includes representation of the past, current and future conditions. The transient model stress periods vary to capture important trends in aquifer head and water balance.</w:t>
      </w:r>
    </w:p>
    <w:p w14:paraId="20FB4F48" w14:textId="77777777" w:rsidR="001A6BA8" w:rsidRPr="00D109F1" w:rsidRDefault="001A6BA8" w:rsidP="001A6BA8">
      <w:pPr>
        <w:spacing w:after="120"/>
        <w:rPr>
          <w:rFonts w:ascii="Calibri" w:hAnsi="Calibri" w:cs="Calibri"/>
          <w:b/>
        </w:rPr>
      </w:pPr>
      <w:r w:rsidRPr="00D109F1">
        <w:rPr>
          <w:rFonts w:ascii="Calibri" w:hAnsi="Calibri" w:cs="Calibri"/>
          <w:b/>
        </w:rPr>
        <w:t>Conceptual Model</w:t>
      </w:r>
    </w:p>
    <w:p w14:paraId="641D4875" w14:textId="77777777" w:rsidR="001A6BA8" w:rsidRPr="00D109F1" w:rsidRDefault="001A6BA8" w:rsidP="001A6BA8">
      <w:pPr>
        <w:pStyle w:val="Reporttext"/>
        <w:spacing w:before="0" w:after="120"/>
        <w:rPr>
          <w:color w:val="auto"/>
        </w:rPr>
      </w:pPr>
      <w:r w:rsidRPr="00D109F1">
        <w:rPr>
          <w:b/>
          <w:color w:val="auto"/>
        </w:rPr>
        <w:t>Flow direction</w:t>
      </w:r>
      <w:r w:rsidRPr="00D109F1">
        <w:rPr>
          <w:color w:val="auto"/>
        </w:rPr>
        <w:t xml:space="preserve">  </w:t>
      </w:r>
    </w:p>
    <w:p w14:paraId="52719F66" w14:textId="77777777" w:rsidR="001A6BA8" w:rsidRPr="00D109F1" w:rsidRDefault="001A6BA8" w:rsidP="001A6BA8">
      <w:pPr>
        <w:pStyle w:val="Reporttext"/>
        <w:spacing w:before="0" w:after="120"/>
        <w:rPr>
          <w:color w:val="auto"/>
        </w:rPr>
      </w:pPr>
      <w:r w:rsidRPr="00D109F1">
        <w:rPr>
          <w:color w:val="auto"/>
        </w:rPr>
        <w:t xml:space="preserve">According to current water level data, groundwater flow direction is predominantly occurring from the north-west to the south-east, with some lateral inflow from the north via the J aquifer.  </w:t>
      </w:r>
    </w:p>
    <w:p w14:paraId="6BFCDF4C" w14:textId="77777777" w:rsidR="001A6BA8" w:rsidRPr="00D109F1" w:rsidRDefault="001A6BA8" w:rsidP="001A6BA8">
      <w:pPr>
        <w:pStyle w:val="Reporttext"/>
        <w:spacing w:before="0" w:after="120"/>
        <w:rPr>
          <w:color w:val="auto"/>
        </w:rPr>
      </w:pPr>
      <w:r w:rsidRPr="00D109F1">
        <w:rPr>
          <w:color w:val="auto"/>
        </w:rPr>
        <w:t>Current groundwater flow direction is highlighted by diffuse recharge that is occurring, or has occurred in the past, along the north-west margin of the basin and discharge which mainly occurs along the southern edge of the basin through lateral outflow via the GAB aquifers.</w:t>
      </w:r>
    </w:p>
    <w:p w14:paraId="5F0F5F3E" w14:textId="77777777" w:rsidR="001A6BA8" w:rsidRPr="00D109F1" w:rsidRDefault="001A6BA8" w:rsidP="001A6BA8">
      <w:pPr>
        <w:pStyle w:val="Reporttext"/>
        <w:spacing w:before="0" w:after="120"/>
        <w:rPr>
          <w:color w:val="auto"/>
        </w:rPr>
      </w:pPr>
      <w:r w:rsidRPr="00D109F1">
        <w:rPr>
          <w:b/>
          <w:color w:val="auto"/>
        </w:rPr>
        <w:t>Aquifer interaction</w:t>
      </w:r>
    </w:p>
    <w:p w14:paraId="6BC5B872" w14:textId="77777777" w:rsidR="001A6BA8" w:rsidRPr="00D109F1" w:rsidRDefault="001A6BA8" w:rsidP="001A6BA8">
      <w:pPr>
        <w:pStyle w:val="Reporttext"/>
        <w:spacing w:before="0" w:after="120"/>
        <w:rPr>
          <w:color w:val="auto"/>
        </w:rPr>
      </w:pPr>
      <w:r w:rsidRPr="00D109F1">
        <w:rPr>
          <w:color w:val="auto"/>
        </w:rPr>
        <w:t xml:space="preserve">Insufficient lithological data and knowledge is available to develop a regional understanding of whether the </w:t>
      </w:r>
      <w:proofErr w:type="spellStart"/>
      <w:r w:rsidRPr="00D109F1">
        <w:rPr>
          <w:color w:val="auto"/>
        </w:rPr>
        <w:t>Purni</w:t>
      </w:r>
      <w:proofErr w:type="spellEnd"/>
      <w:r w:rsidRPr="00D109F1">
        <w:rPr>
          <w:color w:val="auto"/>
        </w:rPr>
        <w:t xml:space="preserve"> Formation and Crown Point Formation behave as a single aquifer, or whether multiple aquifers and </w:t>
      </w:r>
      <w:proofErr w:type="spellStart"/>
      <w:r w:rsidRPr="00D109F1">
        <w:rPr>
          <w:color w:val="auto"/>
        </w:rPr>
        <w:t>aquitards</w:t>
      </w:r>
      <w:proofErr w:type="spellEnd"/>
      <w:r w:rsidRPr="00D109F1">
        <w:rPr>
          <w:color w:val="auto"/>
        </w:rPr>
        <w:t xml:space="preserve"> exist within these formations. Within the eastern portion of the basin, Triassic sediments of the Simpson Basin </w:t>
      </w:r>
      <w:proofErr w:type="spellStart"/>
      <w:r w:rsidRPr="00D109F1">
        <w:rPr>
          <w:color w:val="auto"/>
        </w:rPr>
        <w:t>unconformably</w:t>
      </w:r>
      <w:proofErr w:type="spellEnd"/>
      <w:r w:rsidRPr="00D109F1">
        <w:rPr>
          <w:color w:val="auto"/>
        </w:rPr>
        <w:t xml:space="preserve"> overly Permian sediments. It is postulated that the Triassic may limit the hydraulic connectivity between the Permian aquifer and the overlying J aquifer, however faulting may enable vertical localised connectivity between overlying and underlying aquifers, particularly in the location of the Dalhousie-McDills Ridge.</w:t>
      </w:r>
    </w:p>
    <w:p w14:paraId="1B41CEF9" w14:textId="77777777" w:rsidR="001A6BA8" w:rsidRPr="00D109F1" w:rsidRDefault="001A6BA8" w:rsidP="001A6BA8">
      <w:pPr>
        <w:pStyle w:val="Reporttext"/>
        <w:spacing w:before="0" w:after="120"/>
        <w:rPr>
          <w:color w:val="auto"/>
        </w:rPr>
      </w:pPr>
      <w:r w:rsidRPr="00D109F1">
        <w:rPr>
          <w:b/>
          <w:color w:val="auto"/>
        </w:rPr>
        <w:t>Recharge</w:t>
      </w:r>
    </w:p>
    <w:p w14:paraId="46ADED1D" w14:textId="77777777" w:rsidR="001A6BA8" w:rsidRPr="00D109F1" w:rsidRDefault="001A6BA8" w:rsidP="001A6BA8">
      <w:pPr>
        <w:pStyle w:val="Reporttext"/>
        <w:spacing w:before="0" w:after="120"/>
        <w:rPr>
          <w:color w:val="auto"/>
        </w:rPr>
      </w:pPr>
      <w:r w:rsidRPr="00D109F1">
        <w:rPr>
          <w:color w:val="auto"/>
        </w:rPr>
        <w:t xml:space="preserve">Recharge occurs on the north-west margin of the basin and include lateral inflow from GAB and recharge from rainfall and streams. It is presumed that diffuse recharge has been declining over the recent climate cycle (last </w:t>
      </w:r>
      <w:r w:rsidRPr="00D109F1">
        <w:rPr>
          <w:color w:val="auto"/>
        </w:rPr>
        <w:lastRenderedPageBreak/>
        <w:t>10 000 years) due to reduced rainfall. Based on current understanding, modern diffuse recharge is approximately 0.1 mm/y, which is negligible. Recharge from surface water features occurs where the Finke River and Goyder Creek intersect outcropping J aquifer and Permian aquifer, and is thought to be the primary mechanism for modern-day recharge to the basin.</w:t>
      </w:r>
    </w:p>
    <w:p w14:paraId="196E5664" w14:textId="77777777" w:rsidR="001A6BA8" w:rsidRPr="00D109F1" w:rsidRDefault="001A6BA8" w:rsidP="001A6BA8">
      <w:pPr>
        <w:pStyle w:val="Reporttext"/>
        <w:spacing w:before="0" w:after="120"/>
        <w:rPr>
          <w:b/>
          <w:color w:val="auto"/>
        </w:rPr>
      </w:pPr>
      <w:r w:rsidRPr="00D109F1">
        <w:rPr>
          <w:b/>
          <w:color w:val="auto"/>
        </w:rPr>
        <w:t>Discharge</w:t>
      </w:r>
    </w:p>
    <w:p w14:paraId="38F50089" w14:textId="77777777" w:rsidR="001A6BA8" w:rsidRPr="00D109F1" w:rsidRDefault="001A6BA8" w:rsidP="001A6BA8">
      <w:pPr>
        <w:pStyle w:val="Reporttext"/>
        <w:spacing w:before="0" w:after="120"/>
        <w:rPr>
          <w:color w:val="auto"/>
        </w:rPr>
      </w:pPr>
      <w:r w:rsidRPr="00D109F1">
        <w:rPr>
          <w:color w:val="auto"/>
        </w:rPr>
        <w:t>Discharge mechanisms are uncertain, as the South Australian portion of the Pedirka Basin is data poor.</w:t>
      </w:r>
    </w:p>
    <w:p w14:paraId="2A22692E" w14:textId="77777777" w:rsidR="001A6BA8" w:rsidRPr="00D109F1" w:rsidRDefault="001A6BA8" w:rsidP="001A6BA8">
      <w:pPr>
        <w:pStyle w:val="Reporttext"/>
        <w:spacing w:before="0" w:after="120"/>
        <w:rPr>
          <w:color w:val="auto"/>
        </w:rPr>
      </w:pPr>
      <w:r w:rsidRPr="00D109F1">
        <w:rPr>
          <w:color w:val="auto"/>
        </w:rPr>
        <w:t xml:space="preserve">In the northwest of the Pedirka Basin localised discharge may occur via evapotranspiration where the </w:t>
      </w:r>
      <w:proofErr w:type="spellStart"/>
      <w:r w:rsidRPr="00D109F1">
        <w:rPr>
          <w:color w:val="auto"/>
        </w:rPr>
        <w:t>watertable</w:t>
      </w:r>
      <w:proofErr w:type="spellEnd"/>
      <w:r w:rsidRPr="00D109F1">
        <w:rPr>
          <w:color w:val="auto"/>
        </w:rPr>
        <w:t xml:space="preserve"> is relatively shallow near Finke River. Local discharge to waterholes may also occur. These processes are assumed to be minor components of the overall basin water balance.</w:t>
      </w:r>
    </w:p>
    <w:p w14:paraId="0529C249" w14:textId="77777777" w:rsidR="001A6BA8" w:rsidRPr="00D109F1" w:rsidRDefault="001A6BA8" w:rsidP="001A6BA8">
      <w:pPr>
        <w:pStyle w:val="Reporttext"/>
        <w:spacing w:before="0" w:after="120"/>
        <w:rPr>
          <w:color w:val="auto"/>
        </w:rPr>
      </w:pPr>
      <w:r w:rsidRPr="00D109F1">
        <w:rPr>
          <w:color w:val="auto"/>
        </w:rPr>
        <w:t xml:space="preserve">The </w:t>
      </w:r>
      <w:proofErr w:type="spellStart"/>
      <w:r w:rsidRPr="00D109F1">
        <w:rPr>
          <w:color w:val="auto"/>
        </w:rPr>
        <w:t>Rollings</w:t>
      </w:r>
      <w:proofErr w:type="spellEnd"/>
      <w:r w:rsidRPr="00D109F1">
        <w:rPr>
          <w:color w:val="auto"/>
        </w:rPr>
        <w:t xml:space="preserve"> Down Group controls the rate of vertical discharge from the J aquifer to shallower aquifers within the Cainozoic. Estimated rates of diffuse discharge through the </w:t>
      </w:r>
      <w:proofErr w:type="spellStart"/>
      <w:r w:rsidRPr="00D109F1">
        <w:rPr>
          <w:color w:val="auto"/>
        </w:rPr>
        <w:t>Rollings</w:t>
      </w:r>
      <w:proofErr w:type="spellEnd"/>
      <w:r w:rsidRPr="00D109F1">
        <w:rPr>
          <w:color w:val="auto"/>
        </w:rPr>
        <w:t xml:space="preserve"> Down Group range between 3 x 10-4 to 5 x 10-4, but can be higher where preferential flow paths occur along fractures and major faults such as the Dalhousie-McDills Ridge (Love et al., 2013b). This may influence groundwater flow direction and vertical discharge.</w:t>
      </w:r>
    </w:p>
    <w:p w14:paraId="2E0F2351" w14:textId="77777777" w:rsidR="001A6BA8" w:rsidRPr="009F2884" w:rsidRDefault="001A6BA8" w:rsidP="001A6BA8">
      <w:pPr>
        <w:spacing w:after="120"/>
        <w:rPr>
          <w:rFonts w:ascii="Calibri" w:hAnsi="Calibri" w:cs="Calibri"/>
          <w:b/>
        </w:rPr>
      </w:pPr>
      <w:r w:rsidRPr="009F2884">
        <w:rPr>
          <w:rFonts w:ascii="Calibri" w:hAnsi="Calibri" w:cs="Calibri"/>
          <w:b/>
        </w:rPr>
        <w:t>Model Structure</w:t>
      </w:r>
    </w:p>
    <w:p w14:paraId="15CAA821" w14:textId="77777777" w:rsidR="001A6BA8" w:rsidRPr="00EF487D" w:rsidRDefault="001A6BA8" w:rsidP="001A6BA8">
      <w:pPr>
        <w:spacing w:after="120"/>
        <w:rPr>
          <w:rFonts w:ascii="Calibri" w:eastAsia="Times New Roman" w:hAnsi="Calibri" w:cs="Calibri"/>
          <w:sz w:val="22"/>
          <w:szCs w:val="20"/>
        </w:rPr>
      </w:pPr>
      <w:r w:rsidRPr="00EF487D">
        <w:rPr>
          <w:rFonts w:ascii="Calibri" w:eastAsia="Times New Roman" w:hAnsi="Calibri" w:cs="Calibri"/>
          <w:sz w:val="22"/>
          <w:szCs w:val="20"/>
        </w:rPr>
        <w:t>The groundwater model for the Pedirka Basin represents six key hydrogeological units with five active model layers (Layers 2 to 6). Model layers 2 to 6 represent the major stratigraphic units and each has been assumed to be a single hydrogeological unit. Insufficient data exists to discretise these units beyond the major stratigraphic units.</w:t>
      </w:r>
    </w:p>
    <w:p w14:paraId="1AA0BB54" w14:textId="77777777" w:rsidR="001A6BA8" w:rsidRPr="00D109F1" w:rsidRDefault="001A6BA8" w:rsidP="001A6BA8">
      <w:pPr>
        <w:pStyle w:val="Caption"/>
        <w:rPr>
          <w:bCs/>
          <w:sz w:val="22"/>
          <w:szCs w:val="22"/>
        </w:rPr>
      </w:pPr>
      <w:bookmarkStart w:id="15" w:name="_Ref372902655"/>
      <w:bookmarkStart w:id="16" w:name="_Toc373320553"/>
      <w:r w:rsidRPr="00D109F1">
        <w:rPr>
          <w:sz w:val="22"/>
          <w:szCs w:val="22"/>
        </w:rPr>
        <w:t>Table</w:t>
      </w:r>
      <w:r>
        <w:rPr>
          <w:sz w:val="22"/>
          <w:szCs w:val="22"/>
        </w:rPr>
        <w:t xml:space="preserve"> </w:t>
      </w:r>
      <w:r w:rsidRPr="00D109F1">
        <w:rPr>
          <w:bCs/>
          <w:sz w:val="22"/>
          <w:szCs w:val="22"/>
        </w:rPr>
        <w:fldChar w:fldCharType="begin"/>
      </w:r>
      <w:r w:rsidRPr="00D109F1">
        <w:rPr>
          <w:sz w:val="22"/>
          <w:szCs w:val="22"/>
        </w:rPr>
        <w:instrText xml:space="preserve"> SEQ Table \* ARABIC \s 1 </w:instrText>
      </w:r>
      <w:r w:rsidRPr="00D109F1">
        <w:rPr>
          <w:bCs/>
          <w:sz w:val="22"/>
          <w:szCs w:val="22"/>
        </w:rPr>
        <w:fldChar w:fldCharType="separate"/>
      </w:r>
      <w:r>
        <w:rPr>
          <w:noProof/>
          <w:sz w:val="22"/>
          <w:szCs w:val="22"/>
        </w:rPr>
        <w:t>1</w:t>
      </w:r>
      <w:r w:rsidRPr="00D109F1">
        <w:rPr>
          <w:bCs/>
          <w:sz w:val="22"/>
          <w:szCs w:val="22"/>
        </w:rPr>
        <w:fldChar w:fldCharType="end"/>
      </w:r>
      <w:bookmarkEnd w:id="15"/>
      <w:r>
        <w:rPr>
          <w:sz w:val="22"/>
          <w:szCs w:val="22"/>
        </w:rPr>
        <w:t xml:space="preserve">: </w:t>
      </w:r>
      <w:r w:rsidRPr="00D109F1">
        <w:rPr>
          <w:sz w:val="22"/>
          <w:szCs w:val="22"/>
        </w:rPr>
        <w:t xml:space="preserve">Model layer aquifers and </w:t>
      </w:r>
      <w:proofErr w:type="spellStart"/>
      <w:r w:rsidRPr="00D109F1">
        <w:rPr>
          <w:sz w:val="22"/>
          <w:szCs w:val="22"/>
        </w:rPr>
        <w:t>aquitards</w:t>
      </w:r>
      <w:proofErr w:type="spellEnd"/>
      <w:r w:rsidRPr="00D109F1">
        <w:rPr>
          <w:sz w:val="22"/>
          <w:szCs w:val="22"/>
        </w:rPr>
        <w:t xml:space="preserve"> within </w:t>
      </w:r>
      <w:r>
        <w:rPr>
          <w:sz w:val="22"/>
          <w:szCs w:val="22"/>
        </w:rPr>
        <w:t xml:space="preserve">the </w:t>
      </w:r>
      <w:proofErr w:type="spellStart"/>
      <w:r w:rsidRPr="00D109F1">
        <w:rPr>
          <w:sz w:val="22"/>
          <w:szCs w:val="22"/>
        </w:rPr>
        <w:t>Pedirka</w:t>
      </w:r>
      <w:proofErr w:type="spellEnd"/>
      <w:r w:rsidRPr="00D109F1">
        <w:rPr>
          <w:sz w:val="22"/>
          <w:szCs w:val="22"/>
        </w:rPr>
        <w:t xml:space="preserve"> </w:t>
      </w:r>
      <w:bookmarkEnd w:id="16"/>
      <w:r>
        <w:rPr>
          <w:sz w:val="22"/>
          <w:szCs w:val="22"/>
        </w:rPr>
        <w:t>model</w:t>
      </w:r>
    </w:p>
    <w:tbl>
      <w:tblPr>
        <w:tblW w:w="4944" w:type="pct"/>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1174"/>
        <w:gridCol w:w="5010"/>
        <w:gridCol w:w="1649"/>
        <w:gridCol w:w="1968"/>
      </w:tblGrid>
      <w:tr w:rsidR="001A6BA8" w:rsidRPr="00D109F1" w14:paraId="734849DD" w14:textId="77777777" w:rsidTr="00EF487D">
        <w:trPr>
          <w:trHeight w:val="397"/>
        </w:trPr>
        <w:tc>
          <w:tcPr>
            <w:tcW w:w="599" w:type="pct"/>
            <w:shd w:val="clear" w:color="auto" w:fill="auto"/>
            <w:noWrap/>
            <w:vAlign w:val="center"/>
            <w:hideMark/>
          </w:tcPr>
          <w:p w14:paraId="233F47FB" w14:textId="77777777" w:rsidR="001A6BA8" w:rsidRPr="00D109F1" w:rsidRDefault="001A6BA8" w:rsidP="00EF487D">
            <w:pPr>
              <w:pStyle w:val="Tabletext0"/>
              <w:jc w:val="center"/>
              <w:rPr>
                <w:b/>
                <w:color w:val="auto"/>
              </w:rPr>
            </w:pPr>
            <w:r w:rsidRPr="00D109F1">
              <w:rPr>
                <w:b/>
                <w:color w:val="auto"/>
              </w:rPr>
              <w:t>Layer</w:t>
            </w:r>
          </w:p>
        </w:tc>
        <w:tc>
          <w:tcPr>
            <w:tcW w:w="2556" w:type="pct"/>
            <w:shd w:val="clear" w:color="auto" w:fill="auto"/>
            <w:noWrap/>
            <w:vAlign w:val="center"/>
            <w:hideMark/>
          </w:tcPr>
          <w:p w14:paraId="4DB92014" w14:textId="77777777" w:rsidR="001A6BA8" w:rsidRPr="00D109F1" w:rsidRDefault="001A6BA8" w:rsidP="00EF487D">
            <w:pPr>
              <w:pStyle w:val="Tabletext0"/>
              <w:jc w:val="center"/>
              <w:rPr>
                <w:b/>
                <w:color w:val="auto"/>
              </w:rPr>
            </w:pPr>
            <w:r w:rsidRPr="00D109F1">
              <w:rPr>
                <w:b/>
                <w:color w:val="auto"/>
              </w:rPr>
              <w:t>Hydrogeological Group or Unit</w:t>
            </w:r>
          </w:p>
        </w:tc>
        <w:tc>
          <w:tcPr>
            <w:tcW w:w="841" w:type="pct"/>
            <w:shd w:val="clear" w:color="auto" w:fill="auto"/>
            <w:noWrap/>
            <w:vAlign w:val="center"/>
            <w:hideMark/>
          </w:tcPr>
          <w:p w14:paraId="52108C6F" w14:textId="77777777" w:rsidR="001A6BA8" w:rsidRPr="00D109F1" w:rsidRDefault="001A6BA8" w:rsidP="00EF487D">
            <w:pPr>
              <w:pStyle w:val="Tabletext0"/>
              <w:jc w:val="center"/>
              <w:rPr>
                <w:b/>
                <w:color w:val="auto"/>
              </w:rPr>
            </w:pPr>
            <w:r w:rsidRPr="00D109F1">
              <w:rPr>
                <w:b/>
                <w:color w:val="auto"/>
              </w:rPr>
              <w:t xml:space="preserve">Aquifer / </w:t>
            </w:r>
            <w:proofErr w:type="spellStart"/>
            <w:r w:rsidRPr="00D109F1">
              <w:rPr>
                <w:b/>
                <w:color w:val="auto"/>
              </w:rPr>
              <w:t>Aquitard</w:t>
            </w:r>
            <w:proofErr w:type="spellEnd"/>
          </w:p>
        </w:tc>
        <w:tc>
          <w:tcPr>
            <w:tcW w:w="1004" w:type="pct"/>
            <w:shd w:val="clear" w:color="auto" w:fill="auto"/>
            <w:noWrap/>
            <w:vAlign w:val="center"/>
            <w:hideMark/>
          </w:tcPr>
          <w:p w14:paraId="5FE8711D" w14:textId="77777777" w:rsidR="001A6BA8" w:rsidRPr="00D109F1" w:rsidRDefault="001A6BA8" w:rsidP="00EF487D">
            <w:pPr>
              <w:pStyle w:val="Tabletext0"/>
              <w:jc w:val="center"/>
              <w:rPr>
                <w:b/>
                <w:color w:val="auto"/>
              </w:rPr>
            </w:pPr>
            <w:r w:rsidRPr="00D109F1">
              <w:rPr>
                <w:b/>
                <w:color w:val="auto"/>
              </w:rPr>
              <w:t>MODFLOW Layer Type</w:t>
            </w:r>
          </w:p>
        </w:tc>
      </w:tr>
      <w:tr w:rsidR="001A6BA8" w:rsidRPr="00D109F1" w14:paraId="378E5830" w14:textId="77777777" w:rsidTr="00EF487D">
        <w:trPr>
          <w:trHeight w:val="397"/>
        </w:trPr>
        <w:tc>
          <w:tcPr>
            <w:tcW w:w="599" w:type="pct"/>
            <w:shd w:val="clear" w:color="auto" w:fill="auto"/>
            <w:noWrap/>
            <w:vAlign w:val="center"/>
            <w:hideMark/>
          </w:tcPr>
          <w:p w14:paraId="37468571" w14:textId="77777777" w:rsidR="001A6BA8" w:rsidRPr="00D109F1" w:rsidRDefault="001A6BA8" w:rsidP="00EF487D">
            <w:pPr>
              <w:pStyle w:val="Tabletext0"/>
              <w:jc w:val="center"/>
              <w:rPr>
                <w:color w:val="auto"/>
              </w:rPr>
            </w:pPr>
            <w:r w:rsidRPr="00D109F1">
              <w:rPr>
                <w:color w:val="auto"/>
              </w:rPr>
              <w:t>1</w:t>
            </w:r>
          </w:p>
        </w:tc>
        <w:tc>
          <w:tcPr>
            <w:tcW w:w="2556" w:type="pct"/>
            <w:shd w:val="clear" w:color="auto" w:fill="auto"/>
            <w:noWrap/>
            <w:vAlign w:val="center"/>
            <w:hideMark/>
          </w:tcPr>
          <w:p w14:paraId="277A1818" w14:textId="77777777" w:rsidR="001A6BA8" w:rsidRPr="00D109F1" w:rsidRDefault="001A6BA8" w:rsidP="00EF487D">
            <w:pPr>
              <w:pStyle w:val="Tabletext0"/>
              <w:jc w:val="center"/>
              <w:rPr>
                <w:color w:val="auto"/>
              </w:rPr>
            </w:pPr>
            <w:r w:rsidRPr="00D109F1">
              <w:rPr>
                <w:color w:val="auto"/>
              </w:rPr>
              <w:t xml:space="preserve">Cainozoic and </w:t>
            </w:r>
            <w:proofErr w:type="spellStart"/>
            <w:r w:rsidRPr="00D109F1">
              <w:rPr>
                <w:color w:val="auto"/>
              </w:rPr>
              <w:t>Rollings</w:t>
            </w:r>
            <w:proofErr w:type="spellEnd"/>
            <w:r w:rsidRPr="00D109F1">
              <w:rPr>
                <w:color w:val="auto"/>
              </w:rPr>
              <w:t xml:space="preserve"> Down Group</w:t>
            </w:r>
          </w:p>
        </w:tc>
        <w:tc>
          <w:tcPr>
            <w:tcW w:w="841" w:type="pct"/>
            <w:shd w:val="clear" w:color="auto" w:fill="auto"/>
            <w:noWrap/>
            <w:vAlign w:val="center"/>
            <w:hideMark/>
          </w:tcPr>
          <w:p w14:paraId="11FB149B" w14:textId="77777777" w:rsidR="001A6BA8" w:rsidRPr="00D109F1" w:rsidRDefault="001A6BA8" w:rsidP="00EF487D">
            <w:pPr>
              <w:pStyle w:val="Tabletext0"/>
              <w:jc w:val="center"/>
              <w:rPr>
                <w:color w:val="auto"/>
              </w:rPr>
            </w:pPr>
            <w:proofErr w:type="spellStart"/>
            <w:r w:rsidRPr="00D109F1">
              <w:rPr>
                <w:color w:val="auto"/>
              </w:rPr>
              <w:t>Aquitard</w:t>
            </w:r>
            <w:proofErr w:type="spellEnd"/>
          </w:p>
        </w:tc>
        <w:tc>
          <w:tcPr>
            <w:tcW w:w="1004" w:type="pct"/>
            <w:shd w:val="clear" w:color="auto" w:fill="auto"/>
            <w:noWrap/>
            <w:vAlign w:val="center"/>
            <w:hideMark/>
          </w:tcPr>
          <w:p w14:paraId="68524783" w14:textId="77777777" w:rsidR="001A6BA8" w:rsidRPr="00D109F1" w:rsidRDefault="001A6BA8" w:rsidP="00EF487D">
            <w:pPr>
              <w:pStyle w:val="Tabletext0"/>
              <w:jc w:val="center"/>
              <w:rPr>
                <w:color w:val="auto"/>
              </w:rPr>
            </w:pPr>
            <w:r w:rsidRPr="00D109F1">
              <w:rPr>
                <w:color w:val="auto"/>
              </w:rPr>
              <w:t>Inactive</w:t>
            </w:r>
          </w:p>
        </w:tc>
      </w:tr>
      <w:tr w:rsidR="001A6BA8" w:rsidRPr="00D109F1" w14:paraId="77C8B572" w14:textId="77777777" w:rsidTr="00EF487D">
        <w:trPr>
          <w:trHeight w:val="397"/>
        </w:trPr>
        <w:tc>
          <w:tcPr>
            <w:tcW w:w="599" w:type="pct"/>
            <w:shd w:val="clear" w:color="auto" w:fill="auto"/>
            <w:noWrap/>
            <w:vAlign w:val="center"/>
            <w:hideMark/>
          </w:tcPr>
          <w:p w14:paraId="6AD9FCFB" w14:textId="77777777" w:rsidR="001A6BA8" w:rsidRPr="00D109F1" w:rsidRDefault="001A6BA8" w:rsidP="00EF487D">
            <w:pPr>
              <w:pStyle w:val="Tabletext0"/>
              <w:jc w:val="center"/>
              <w:rPr>
                <w:color w:val="auto"/>
              </w:rPr>
            </w:pPr>
            <w:r w:rsidRPr="00D109F1">
              <w:rPr>
                <w:color w:val="auto"/>
              </w:rPr>
              <w:t>2</w:t>
            </w:r>
          </w:p>
        </w:tc>
        <w:tc>
          <w:tcPr>
            <w:tcW w:w="2556" w:type="pct"/>
            <w:shd w:val="clear" w:color="auto" w:fill="auto"/>
            <w:noWrap/>
            <w:vAlign w:val="center"/>
            <w:hideMark/>
          </w:tcPr>
          <w:p w14:paraId="47CB1754" w14:textId="77777777" w:rsidR="001A6BA8" w:rsidRPr="00D109F1" w:rsidRDefault="001A6BA8" w:rsidP="00EF487D">
            <w:pPr>
              <w:pStyle w:val="Tabletext0"/>
              <w:jc w:val="center"/>
              <w:rPr>
                <w:color w:val="auto"/>
              </w:rPr>
            </w:pPr>
            <w:r w:rsidRPr="00D109F1">
              <w:rPr>
                <w:color w:val="auto"/>
              </w:rPr>
              <w:t>J Aquifer</w:t>
            </w:r>
            <w:r>
              <w:rPr>
                <w:color w:val="auto"/>
              </w:rPr>
              <w:t xml:space="preserve"> (GAB aquifer)</w:t>
            </w:r>
          </w:p>
        </w:tc>
        <w:tc>
          <w:tcPr>
            <w:tcW w:w="841" w:type="pct"/>
            <w:shd w:val="clear" w:color="auto" w:fill="auto"/>
            <w:noWrap/>
            <w:vAlign w:val="center"/>
            <w:hideMark/>
          </w:tcPr>
          <w:p w14:paraId="554ACBF4" w14:textId="77777777" w:rsidR="001A6BA8" w:rsidRPr="00D109F1" w:rsidRDefault="001A6BA8" w:rsidP="00EF487D">
            <w:pPr>
              <w:pStyle w:val="Tabletext0"/>
              <w:jc w:val="center"/>
              <w:rPr>
                <w:color w:val="auto"/>
              </w:rPr>
            </w:pPr>
            <w:r w:rsidRPr="00D109F1">
              <w:rPr>
                <w:color w:val="auto"/>
              </w:rPr>
              <w:t>Aquifer</w:t>
            </w:r>
          </w:p>
        </w:tc>
        <w:tc>
          <w:tcPr>
            <w:tcW w:w="1004" w:type="pct"/>
            <w:shd w:val="clear" w:color="auto" w:fill="auto"/>
            <w:noWrap/>
            <w:vAlign w:val="center"/>
            <w:hideMark/>
          </w:tcPr>
          <w:p w14:paraId="317F32B2" w14:textId="77777777" w:rsidR="001A6BA8" w:rsidRPr="00D109F1" w:rsidRDefault="001A6BA8" w:rsidP="00EF487D">
            <w:pPr>
              <w:pStyle w:val="Tabletext0"/>
              <w:jc w:val="center"/>
              <w:rPr>
                <w:color w:val="auto"/>
              </w:rPr>
            </w:pPr>
            <w:r w:rsidRPr="00D109F1">
              <w:rPr>
                <w:color w:val="auto"/>
              </w:rPr>
              <w:t>Type 0 (confined)</w:t>
            </w:r>
          </w:p>
        </w:tc>
      </w:tr>
      <w:tr w:rsidR="001A6BA8" w:rsidRPr="00D109F1" w14:paraId="06D15842" w14:textId="77777777" w:rsidTr="00EF487D">
        <w:trPr>
          <w:trHeight w:val="397"/>
        </w:trPr>
        <w:tc>
          <w:tcPr>
            <w:tcW w:w="599" w:type="pct"/>
            <w:shd w:val="clear" w:color="auto" w:fill="auto"/>
            <w:noWrap/>
            <w:vAlign w:val="center"/>
            <w:hideMark/>
          </w:tcPr>
          <w:p w14:paraId="69E5CDFF" w14:textId="77777777" w:rsidR="001A6BA8" w:rsidRPr="00D109F1" w:rsidRDefault="001A6BA8" w:rsidP="00EF487D">
            <w:pPr>
              <w:pStyle w:val="Tabletext0"/>
              <w:jc w:val="center"/>
              <w:rPr>
                <w:color w:val="auto"/>
              </w:rPr>
            </w:pPr>
            <w:r w:rsidRPr="00D109F1">
              <w:rPr>
                <w:color w:val="auto"/>
              </w:rPr>
              <w:t>3</w:t>
            </w:r>
          </w:p>
        </w:tc>
        <w:tc>
          <w:tcPr>
            <w:tcW w:w="2556" w:type="pct"/>
            <w:shd w:val="clear" w:color="auto" w:fill="auto"/>
            <w:noWrap/>
            <w:vAlign w:val="center"/>
            <w:hideMark/>
          </w:tcPr>
          <w:p w14:paraId="301CABF2" w14:textId="77777777" w:rsidR="001A6BA8" w:rsidRPr="00D109F1" w:rsidRDefault="001A6BA8" w:rsidP="00EF487D">
            <w:pPr>
              <w:pStyle w:val="Tabletext0"/>
              <w:jc w:val="center"/>
              <w:rPr>
                <w:color w:val="auto"/>
              </w:rPr>
            </w:pPr>
            <w:r w:rsidRPr="00D109F1">
              <w:rPr>
                <w:color w:val="auto"/>
              </w:rPr>
              <w:t>Triassic</w:t>
            </w:r>
          </w:p>
        </w:tc>
        <w:tc>
          <w:tcPr>
            <w:tcW w:w="841" w:type="pct"/>
            <w:shd w:val="clear" w:color="auto" w:fill="auto"/>
            <w:noWrap/>
            <w:vAlign w:val="center"/>
            <w:hideMark/>
          </w:tcPr>
          <w:p w14:paraId="56FD2380" w14:textId="77777777" w:rsidR="001A6BA8" w:rsidRPr="00D109F1" w:rsidRDefault="001A6BA8" w:rsidP="00EF487D">
            <w:pPr>
              <w:pStyle w:val="Tabletext0"/>
              <w:jc w:val="center"/>
              <w:rPr>
                <w:color w:val="auto"/>
              </w:rPr>
            </w:pPr>
            <w:proofErr w:type="spellStart"/>
            <w:r w:rsidRPr="00D109F1">
              <w:rPr>
                <w:color w:val="auto"/>
              </w:rPr>
              <w:t>Aquitard</w:t>
            </w:r>
            <w:proofErr w:type="spellEnd"/>
          </w:p>
        </w:tc>
        <w:tc>
          <w:tcPr>
            <w:tcW w:w="1004" w:type="pct"/>
            <w:shd w:val="clear" w:color="auto" w:fill="auto"/>
            <w:noWrap/>
            <w:vAlign w:val="center"/>
            <w:hideMark/>
          </w:tcPr>
          <w:p w14:paraId="4847D55E" w14:textId="77777777" w:rsidR="001A6BA8" w:rsidRPr="00D109F1" w:rsidRDefault="001A6BA8" w:rsidP="00EF487D">
            <w:pPr>
              <w:pStyle w:val="Tabletext0"/>
              <w:jc w:val="center"/>
              <w:rPr>
                <w:color w:val="auto"/>
              </w:rPr>
            </w:pPr>
            <w:r w:rsidRPr="00D109F1">
              <w:rPr>
                <w:color w:val="auto"/>
              </w:rPr>
              <w:t>Type 0 (confined)</w:t>
            </w:r>
          </w:p>
        </w:tc>
      </w:tr>
      <w:tr w:rsidR="001A6BA8" w:rsidRPr="00D109F1" w14:paraId="1C531528" w14:textId="77777777" w:rsidTr="00EF487D">
        <w:trPr>
          <w:trHeight w:val="397"/>
        </w:trPr>
        <w:tc>
          <w:tcPr>
            <w:tcW w:w="599" w:type="pct"/>
            <w:shd w:val="clear" w:color="auto" w:fill="auto"/>
            <w:noWrap/>
            <w:vAlign w:val="center"/>
            <w:hideMark/>
          </w:tcPr>
          <w:p w14:paraId="28339F0A" w14:textId="77777777" w:rsidR="001A6BA8" w:rsidRPr="00D109F1" w:rsidRDefault="001A6BA8" w:rsidP="00EF487D">
            <w:pPr>
              <w:pStyle w:val="Tabletext0"/>
              <w:jc w:val="center"/>
              <w:rPr>
                <w:color w:val="auto"/>
              </w:rPr>
            </w:pPr>
            <w:r w:rsidRPr="00D109F1">
              <w:rPr>
                <w:color w:val="auto"/>
              </w:rPr>
              <w:t>4</w:t>
            </w:r>
          </w:p>
        </w:tc>
        <w:tc>
          <w:tcPr>
            <w:tcW w:w="2556" w:type="pct"/>
            <w:shd w:val="clear" w:color="auto" w:fill="auto"/>
            <w:noWrap/>
            <w:vAlign w:val="center"/>
            <w:hideMark/>
          </w:tcPr>
          <w:p w14:paraId="5F690BE9" w14:textId="77777777" w:rsidR="001A6BA8" w:rsidRPr="00D109F1" w:rsidRDefault="001A6BA8" w:rsidP="00EF487D">
            <w:pPr>
              <w:pStyle w:val="Tabletext0"/>
              <w:jc w:val="center"/>
              <w:rPr>
                <w:color w:val="auto"/>
              </w:rPr>
            </w:pPr>
            <w:proofErr w:type="spellStart"/>
            <w:r w:rsidRPr="00D109F1">
              <w:rPr>
                <w:color w:val="auto"/>
              </w:rPr>
              <w:t>Purni</w:t>
            </w:r>
            <w:proofErr w:type="spellEnd"/>
            <w:r w:rsidRPr="00D109F1">
              <w:rPr>
                <w:color w:val="auto"/>
              </w:rPr>
              <w:t xml:space="preserve"> Formation</w:t>
            </w:r>
          </w:p>
        </w:tc>
        <w:tc>
          <w:tcPr>
            <w:tcW w:w="841" w:type="pct"/>
            <w:shd w:val="clear" w:color="auto" w:fill="auto"/>
            <w:noWrap/>
            <w:vAlign w:val="center"/>
            <w:hideMark/>
          </w:tcPr>
          <w:p w14:paraId="5BFADC35" w14:textId="77777777" w:rsidR="001A6BA8" w:rsidRPr="00D109F1" w:rsidRDefault="001A6BA8" w:rsidP="00EF487D">
            <w:pPr>
              <w:pStyle w:val="Tabletext0"/>
              <w:jc w:val="center"/>
              <w:rPr>
                <w:color w:val="auto"/>
              </w:rPr>
            </w:pPr>
            <w:r w:rsidRPr="00D109F1">
              <w:rPr>
                <w:color w:val="auto"/>
              </w:rPr>
              <w:t>Aquifer</w:t>
            </w:r>
          </w:p>
        </w:tc>
        <w:tc>
          <w:tcPr>
            <w:tcW w:w="1004" w:type="pct"/>
            <w:shd w:val="clear" w:color="auto" w:fill="auto"/>
            <w:noWrap/>
            <w:vAlign w:val="center"/>
            <w:hideMark/>
          </w:tcPr>
          <w:p w14:paraId="41DED30B" w14:textId="77777777" w:rsidR="001A6BA8" w:rsidRPr="00D109F1" w:rsidRDefault="001A6BA8" w:rsidP="00EF487D">
            <w:pPr>
              <w:pStyle w:val="Tabletext0"/>
              <w:jc w:val="center"/>
              <w:rPr>
                <w:color w:val="auto"/>
              </w:rPr>
            </w:pPr>
            <w:r w:rsidRPr="00D109F1">
              <w:rPr>
                <w:color w:val="auto"/>
              </w:rPr>
              <w:t>Type 0 (confined)</w:t>
            </w:r>
          </w:p>
        </w:tc>
      </w:tr>
      <w:tr w:rsidR="001A6BA8" w:rsidRPr="00D109F1" w14:paraId="240A6334" w14:textId="77777777" w:rsidTr="00EF487D">
        <w:trPr>
          <w:trHeight w:val="397"/>
        </w:trPr>
        <w:tc>
          <w:tcPr>
            <w:tcW w:w="599" w:type="pct"/>
            <w:shd w:val="clear" w:color="auto" w:fill="auto"/>
            <w:noWrap/>
            <w:vAlign w:val="center"/>
            <w:hideMark/>
          </w:tcPr>
          <w:p w14:paraId="3A5F4FF0" w14:textId="77777777" w:rsidR="001A6BA8" w:rsidRPr="00D109F1" w:rsidRDefault="001A6BA8" w:rsidP="00EF487D">
            <w:pPr>
              <w:pStyle w:val="Tabletext0"/>
              <w:jc w:val="center"/>
              <w:rPr>
                <w:color w:val="auto"/>
              </w:rPr>
            </w:pPr>
            <w:r w:rsidRPr="00D109F1">
              <w:rPr>
                <w:color w:val="auto"/>
              </w:rPr>
              <w:t>5</w:t>
            </w:r>
          </w:p>
        </w:tc>
        <w:tc>
          <w:tcPr>
            <w:tcW w:w="2556" w:type="pct"/>
            <w:shd w:val="clear" w:color="auto" w:fill="auto"/>
            <w:noWrap/>
            <w:vAlign w:val="center"/>
            <w:hideMark/>
          </w:tcPr>
          <w:p w14:paraId="758A6AB3" w14:textId="77777777" w:rsidR="001A6BA8" w:rsidRPr="00D109F1" w:rsidRDefault="001A6BA8" w:rsidP="00EF487D">
            <w:pPr>
              <w:pStyle w:val="Tabletext0"/>
              <w:jc w:val="center"/>
              <w:rPr>
                <w:color w:val="auto"/>
              </w:rPr>
            </w:pPr>
            <w:r w:rsidRPr="00D109F1">
              <w:rPr>
                <w:color w:val="auto"/>
              </w:rPr>
              <w:t>Crown Point Formation</w:t>
            </w:r>
          </w:p>
        </w:tc>
        <w:tc>
          <w:tcPr>
            <w:tcW w:w="841" w:type="pct"/>
            <w:shd w:val="clear" w:color="auto" w:fill="auto"/>
            <w:noWrap/>
            <w:vAlign w:val="center"/>
            <w:hideMark/>
          </w:tcPr>
          <w:p w14:paraId="5A2C3DED" w14:textId="77777777" w:rsidR="001A6BA8" w:rsidRPr="00D109F1" w:rsidRDefault="001A6BA8" w:rsidP="00EF487D">
            <w:pPr>
              <w:pStyle w:val="Tabletext0"/>
              <w:jc w:val="center"/>
              <w:rPr>
                <w:color w:val="auto"/>
              </w:rPr>
            </w:pPr>
            <w:r w:rsidRPr="00D109F1">
              <w:rPr>
                <w:color w:val="auto"/>
              </w:rPr>
              <w:t>Aquifer</w:t>
            </w:r>
          </w:p>
        </w:tc>
        <w:tc>
          <w:tcPr>
            <w:tcW w:w="1004" w:type="pct"/>
            <w:shd w:val="clear" w:color="auto" w:fill="auto"/>
            <w:noWrap/>
            <w:vAlign w:val="center"/>
            <w:hideMark/>
          </w:tcPr>
          <w:p w14:paraId="6E509253" w14:textId="77777777" w:rsidR="001A6BA8" w:rsidRPr="00D109F1" w:rsidRDefault="001A6BA8" w:rsidP="00EF487D">
            <w:pPr>
              <w:pStyle w:val="Tabletext0"/>
              <w:jc w:val="center"/>
              <w:rPr>
                <w:color w:val="auto"/>
              </w:rPr>
            </w:pPr>
            <w:r w:rsidRPr="00D109F1">
              <w:rPr>
                <w:color w:val="auto"/>
              </w:rPr>
              <w:t>Type 0 (confined)</w:t>
            </w:r>
          </w:p>
        </w:tc>
      </w:tr>
      <w:tr w:rsidR="001A6BA8" w:rsidRPr="00D109F1" w14:paraId="5B96FBE6" w14:textId="77777777" w:rsidTr="00EF487D">
        <w:trPr>
          <w:trHeight w:val="397"/>
        </w:trPr>
        <w:tc>
          <w:tcPr>
            <w:tcW w:w="599" w:type="pct"/>
            <w:shd w:val="clear" w:color="auto" w:fill="auto"/>
            <w:noWrap/>
            <w:vAlign w:val="center"/>
            <w:hideMark/>
          </w:tcPr>
          <w:p w14:paraId="3D8C8ED8" w14:textId="77777777" w:rsidR="001A6BA8" w:rsidRPr="00D109F1" w:rsidRDefault="001A6BA8" w:rsidP="00EF487D">
            <w:pPr>
              <w:pStyle w:val="Tabletext0"/>
              <w:jc w:val="center"/>
              <w:rPr>
                <w:color w:val="auto"/>
              </w:rPr>
            </w:pPr>
            <w:r w:rsidRPr="00D109F1">
              <w:rPr>
                <w:color w:val="auto"/>
              </w:rPr>
              <w:t>6</w:t>
            </w:r>
          </w:p>
        </w:tc>
        <w:tc>
          <w:tcPr>
            <w:tcW w:w="2556" w:type="pct"/>
            <w:shd w:val="clear" w:color="auto" w:fill="auto"/>
            <w:noWrap/>
            <w:vAlign w:val="center"/>
            <w:hideMark/>
          </w:tcPr>
          <w:p w14:paraId="5450BCD9" w14:textId="77777777" w:rsidR="001A6BA8" w:rsidRPr="00D109F1" w:rsidRDefault="001A6BA8" w:rsidP="00EF487D">
            <w:pPr>
              <w:pStyle w:val="Tabletext0"/>
              <w:jc w:val="center"/>
              <w:rPr>
                <w:color w:val="auto"/>
              </w:rPr>
            </w:pPr>
            <w:r w:rsidRPr="00D109F1">
              <w:rPr>
                <w:color w:val="auto"/>
              </w:rPr>
              <w:t>Basement</w:t>
            </w:r>
          </w:p>
        </w:tc>
        <w:tc>
          <w:tcPr>
            <w:tcW w:w="841" w:type="pct"/>
            <w:shd w:val="clear" w:color="auto" w:fill="auto"/>
            <w:noWrap/>
            <w:vAlign w:val="center"/>
            <w:hideMark/>
          </w:tcPr>
          <w:p w14:paraId="3869BC81" w14:textId="77777777" w:rsidR="001A6BA8" w:rsidRPr="00D109F1" w:rsidRDefault="001A6BA8" w:rsidP="00EF487D">
            <w:pPr>
              <w:pStyle w:val="Tabletext0"/>
              <w:jc w:val="center"/>
              <w:rPr>
                <w:color w:val="auto"/>
              </w:rPr>
            </w:pPr>
            <w:proofErr w:type="spellStart"/>
            <w:r w:rsidRPr="00D109F1">
              <w:rPr>
                <w:color w:val="auto"/>
              </w:rPr>
              <w:t>Aquitard</w:t>
            </w:r>
            <w:proofErr w:type="spellEnd"/>
          </w:p>
        </w:tc>
        <w:tc>
          <w:tcPr>
            <w:tcW w:w="1004" w:type="pct"/>
            <w:shd w:val="clear" w:color="auto" w:fill="auto"/>
            <w:noWrap/>
            <w:vAlign w:val="center"/>
            <w:hideMark/>
          </w:tcPr>
          <w:p w14:paraId="4B717B60" w14:textId="77777777" w:rsidR="001A6BA8" w:rsidRPr="00D109F1" w:rsidRDefault="001A6BA8" w:rsidP="00EF487D">
            <w:pPr>
              <w:pStyle w:val="Tabletext0"/>
              <w:jc w:val="center"/>
              <w:rPr>
                <w:color w:val="auto"/>
              </w:rPr>
            </w:pPr>
            <w:r w:rsidRPr="00D109F1">
              <w:rPr>
                <w:color w:val="auto"/>
              </w:rPr>
              <w:t>Type 0 (confined)</w:t>
            </w:r>
          </w:p>
        </w:tc>
      </w:tr>
    </w:tbl>
    <w:p w14:paraId="4A4A8138" w14:textId="77777777" w:rsidR="001A6BA8" w:rsidRPr="00D109F1" w:rsidRDefault="001A6BA8" w:rsidP="001A6BA8">
      <w:pPr>
        <w:rPr>
          <w:rFonts w:ascii="Calibri" w:hAnsi="Calibri" w:cs="Calibri"/>
        </w:rPr>
      </w:pPr>
    </w:p>
    <w:p w14:paraId="274C12F1" w14:textId="77777777" w:rsidR="001A6BA8" w:rsidRPr="00EF487D" w:rsidRDefault="001A6BA8" w:rsidP="00EF487D">
      <w:pPr>
        <w:spacing w:after="120"/>
        <w:rPr>
          <w:rFonts w:ascii="Calibri" w:eastAsia="Times New Roman" w:hAnsi="Calibri" w:cs="Calibri"/>
          <w:sz w:val="22"/>
          <w:szCs w:val="20"/>
        </w:rPr>
      </w:pPr>
      <w:r w:rsidRPr="00EF487D">
        <w:rPr>
          <w:rFonts w:ascii="Calibri" w:eastAsia="Times New Roman" w:hAnsi="Calibri" w:cs="Calibri"/>
          <w:sz w:val="22"/>
          <w:szCs w:val="20"/>
        </w:rPr>
        <w:t>Layer 1 (</w:t>
      </w:r>
      <w:proofErr w:type="spellStart"/>
      <w:r w:rsidRPr="00EF487D">
        <w:rPr>
          <w:rFonts w:ascii="Calibri" w:eastAsia="Times New Roman" w:hAnsi="Calibri" w:cs="Calibri"/>
          <w:sz w:val="22"/>
          <w:szCs w:val="20"/>
        </w:rPr>
        <w:t>Rollings</w:t>
      </w:r>
      <w:proofErr w:type="spellEnd"/>
      <w:r w:rsidRPr="00EF487D">
        <w:rPr>
          <w:rFonts w:ascii="Calibri" w:eastAsia="Times New Roman" w:hAnsi="Calibri" w:cs="Calibri"/>
          <w:sz w:val="22"/>
          <w:szCs w:val="20"/>
        </w:rPr>
        <w:t xml:space="preserve"> Down Group and Cainozoic) is included in the model for completeness, but it is assigned as inactive, or no-flow. Due to the low permeability of the </w:t>
      </w:r>
      <w:proofErr w:type="spellStart"/>
      <w:r w:rsidRPr="00EF487D">
        <w:rPr>
          <w:rFonts w:ascii="Calibri" w:eastAsia="Times New Roman" w:hAnsi="Calibri" w:cs="Calibri"/>
          <w:sz w:val="22"/>
          <w:szCs w:val="20"/>
        </w:rPr>
        <w:t>Rollings</w:t>
      </w:r>
      <w:proofErr w:type="spellEnd"/>
      <w:r w:rsidRPr="00EF487D">
        <w:rPr>
          <w:rFonts w:ascii="Calibri" w:eastAsia="Times New Roman" w:hAnsi="Calibri" w:cs="Calibri"/>
          <w:sz w:val="22"/>
          <w:szCs w:val="20"/>
        </w:rPr>
        <w:t xml:space="preserve"> Down Group it is assumed that there is very minor interactions between the underlying J aquifer and shallower </w:t>
      </w:r>
      <w:proofErr w:type="spellStart"/>
      <w:r w:rsidRPr="00EF487D">
        <w:rPr>
          <w:rFonts w:ascii="Calibri" w:eastAsia="Times New Roman" w:hAnsi="Calibri" w:cs="Calibri"/>
          <w:sz w:val="22"/>
          <w:szCs w:val="20"/>
        </w:rPr>
        <w:t>interbedded</w:t>
      </w:r>
      <w:proofErr w:type="spellEnd"/>
      <w:r w:rsidRPr="00EF487D">
        <w:rPr>
          <w:rFonts w:ascii="Calibri" w:eastAsia="Times New Roman" w:hAnsi="Calibri" w:cs="Calibri"/>
          <w:sz w:val="22"/>
          <w:szCs w:val="20"/>
        </w:rPr>
        <w:t xml:space="preserve"> aquifers in the Cainozoic &amp; </w:t>
      </w:r>
      <w:proofErr w:type="spellStart"/>
      <w:r w:rsidRPr="00EF487D">
        <w:rPr>
          <w:rFonts w:ascii="Calibri" w:eastAsia="Times New Roman" w:hAnsi="Calibri" w:cs="Calibri"/>
          <w:sz w:val="22"/>
          <w:szCs w:val="20"/>
        </w:rPr>
        <w:t>Rollings</w:t>
      </w:r>
      <w:proofErr w:type="spellEnd"/>
      <w:r w:rsidRPr="00EF487D">
        <w:rPr>
          <w:rFonts w:ascii="Calibri" w:eastAsia="Times New Roman" w:hAnsi="Calibri" w:cs="Calibri"/>
          <w:sz w:val="22"/>
          <w:szCs w:val="20"/>
        </w:rPr>
        <w:t xml:space="preserve"> Down Group. This assumption/simplification reduces model complexity associated with shallower aquifers and ensures stability of the model. </w:t>
      </w:r>
    </w:p>
    <w:p w14:paraId="2C7F79F9" w14:textId="77777777" w:rsidR="001A6BA8" w:rsidRPr="00EF487D" w:rsidRDefault="001A6BA8" w:rsidP="00EF487D">
      <w:pPr>
        <w:spacing w:after="120"/>
        <w:rPr>
          <w:rFonts w:ascii="Calibri" w:eastAsia="Times New Roman" w:hAnsi="Calibri" w:cs="Calibri"/>
          <w:sz w:val="22"/>
          <w:szCs w:val="20"/>
        </w:rPr>
      </w:pPr>
      <w:r w:rsidRPr="00EF487D">
        <w:rPr>
          <w:rFonts w:ascii="Calibri" w:eastAsia="Times New Roman" w:hAnsi="Calibri" w:cs="Calibri"/>
          <w:sz w:val="22"/>
          <w:szCs w:val="20"/>
        </w:rPr>
        <w:t xml:space="preserve">All five active model layers (Layers 2 to 6) are modelled as confined (type 0) which represents the aquifer layer conditions across most of the basin area, improves model stability and reduces computation time. Modelling the aquifer system as confined is considered suitable over most of the basin, but the aquifers are unconfined/confined in a small area along the north-west margin of the model domain. The model may slightly overestimate aquifer </w:t>
      </w:r>
      <w:proofErr w:type="spellStart"/>
      <w:r w:rsidRPr="00EF487D">
        <w:rPr>
          <w:rFonts w:ascii="Calibri" w:eastAsia="Times New Roman" w:hAnsi="Calibri" w:cs="Calibri"/>
          <w:sz w:val="22"/>
          <w:szCs w:val="20"/>
        </w:rPr>
        <w:t>transmissivity</w:t>
      </w:r>
      <w:proofErr w:type="spellEnd"/>
      <w:r w:rsidRPr="00EF487D">
        <w:rPr>
          <w:rFonts w:ascii="Calibri" w:eastAsia="Times New Roman" w:hAnsi="Calibri" w:cs="Calibri"/>
          <w:sz w:val="22"/>
          <w:szCs w:val="20"/>
        </w:rPr>
        <w:t xml:space="preserve"> and underestimate aquifer storage in this area. The impact of this</w:t>
      </w:r>
      <w:r w:rsidRPr="00D109F1">
        <w:t xml:space="preserve"> </w:t>
      </w:r>
      <w:r w:rsidRPr="00EF487D">
        <w:rPr>
          <w:rFonts w:ascii="Calibri" w:eastAsia="Times New Roman" w:hAnsi="Calibri" w:cs="Calibri"/>
          <w:sz w:val="22"/>
          <w:szCs w:val="20"/>
        </w:rPr>
        <w:t>simplification/assumption is addressed through an uncertainty analysis discussed in a later section.</w:t>
      </w:r>
    </w:p>
    <w:p w14:paraId="317717CE" w14:textId="77777777" w:rsidR="001A6BA8" w:rsidRPr="00EF487D" w:rsidRDefault="001A6BA8" w:rsidP="00EF487D">
      <w:pPr>
        <w:spacing w:after="120"/>
        <w:rPr>
          <w:rFonts w:ascii="Calibri" w:eastAsia="Times New Roman" w:hAnsi="Calibri" w:cs="Calibri"/>
          <w:sz w:val="22"/>
          <w:szCs w:val="20"/>
        </w:rPr>
      </w:pPr>
      <w:r w:rsidRPr="00EF487D">
        <w:rPr>
          <w:rFonts w:ascii="Calibri" w:eastAsia="Times New Roman" w:hAnsi="Calibri" w:cs="Calibri"/>
          <w:sz w:val="22"/>
          <w:szCs w:val="20"/>
        </w:rPr>
        <w:t xml:space="preserve">The structure of model layers consider topographic variation, </w:t>
      </w:r>
      <w:proofErr w:type="spellStart"/>
      <w:r w:rsidRPr="00EF487D">
        <w:rPr>
          <w:rFonts w:ascii="Calibri" w:eastAsia="Times New Roman" w:hAnsi="Calibri" w:cs="Calibri"/>
          <w:sz w:val="22"/>
          <w:szCs w:val="20"/>
        </w:rPr>
        <w:t>drillhole</w:t>
      </w:r>
      <w:proofErr w:type="spellEnd"/>
      <w:r w:rsidRPr="00EF487D">
        <w:rPr>
          <w:rFonts w:ascii="Calibri" w:eastAsia="Times New Roman" w:hAnsi="Calibri" w:cs="Calibri"/>
          <w:sz w:val="22"/>
          <w:szCs w:val="20"/>
        </w:rPr>
        <w:t xml:space="preserve"> data, seismic data and hydrogeological understanding of faulting and deposition (Wohling et al., 2013). Surfaces were modified to prevent negative model layer thickness and very thin model layers in the north-west of the Pedirka Basin. Surface elevations for individual layers were adjusted so that a minimum thickness of 10 m is obtained for each layer. The thickness </w:t>
      </w:r>
      <w:r w:rsidRPr="00EF487D">
        <w:rPr>
          <w:rFonts w:ascii="Calibri" w:eastAsia="Times New Roman" w:hAnsi="Calibri" w:cs="Calibri"/>
          <w:sz w:val="22"/>
          <w:szCs w:val="20"/>
        </w:rPr>
        <w:lastRenderedPageBreak/>
        <w:t xml:space="preserve">of each hydrogeological unit is overestimated by approximately </w:t>
      </w:r>
      <w:r w:rsidRPr="00EF487D">
        <w:rPr>
          <w:rFonts w:ascii="Calibri" w:eastAsia="Times New Roman" w:hAnsi="Calibri" w:cs="Calibri"/>
          <w:sz w:val="22"/>
          <w:szCs w:val="20"/>
        </w:rPr>
        <w:br/>
        <w:t>10 m, which is negligible in comparison to the overall thickness of these units across most of the basin, which are at least 200 m thick.</w:t>
      </w:r>
    </w:p>
    <w:p w14:paraId="40D90537" w14:textId="77777777" w:rsidR="001A6BA8" w:rsidRPr="00EF487D" w:rsidRDefault="001A6BA8" w:rsidP="00EF487D">
      <w:pPr>
        <w:spacing w:after="120"/>
        <w:rPr>
          <w:rFonts w:ascii="Calibri" w:eastAsia="Times New Roman" w:hAnsi="Calibri" w:cs="Calibri"/>
          <w:sz w:val="22"/>
          <w:szCs w:val="20"/>
        </w:rPr>
      </w:pPr>
      <w:r w:rsidRPr="00EF487D">
        <w:rPr>
          <w:rFonts w:ascii="Calibri" w:eastAsia="Times New Roman" w:hAnsi="Calibri" w:cs="Calibri"/>
          <w:sz w:val="22"/>
          <w:szCs w:val="20"/>
        </w:rPr>
        <w:t>A summary of the aquifer parameters used in the model is presented in table 2.</w:t>
      </w:r>
    </w:p>
    <w:p w14:paraId="60A9DE7A" w14:textId="77777777" w:rsidR="001A6BA8" w:rsidRPr="00D109F1" w:rsidRDefault="001A6BA8" w:rsidP="00A60529">
      <w:pPr>
        <w:pStyle w:val="Caption"/>
        <w:ind w:left="0"/>
        <w:jc w:val="left"/>
        <w:rPr>
          <w:bCs/>
          <w:sz w:val="22"/>
          <w:szCs w:val="22"/>
        </w:rPr>
      </w:pPr>
      <w:bookmarkStart w:id="17" w:name="_Ref372900951"/>
      <w:bookmarkStart w:id="18" w:name="_Toc373320554"/>
      <w:r w:rsidRPr="00D109F1">
        <w:rPr>
          <w:sz w:val="22"/>
          <w:szCs w:val="22"/>
        </w:rPr>
        <w:t>Table</w:t>
      </w:r>
      <w:r>
        <w:rPr>
          <w:sz w:val="22"/>
          <w:szCs w:val="22"/>
        </w:rPr>
        <w:t xml:space="preserve"> </w:t>
      </w:r>
      <w:r w:rsidRPr="00D109F1">
        <w:rPr>
          <w:bCs/>
          <w:sz w:val="22"/>
          <w:szCs w:val="22"/>
        </w:rPr>
        <w:fldChar w:fldCharType="begin"/>
      </w:r>
      <w:r w:rsidRPr="00D109F1">
        <w:rPr>
          <w:sz w:val="22"/>
          <w:szCs w:val="22"/>
        </w:rPr>
        <w:instrText xml:space="preserve"> SEQ Table \* ARABIC \s 1 </w:instrText>
      </w:r>
      <w:r w:rsidRPr="00D109F1">
        <w:rPr>
          <w:bCs/>
          <w:sz w:val="22"/>
          <w:szCs w:val="22"/>
        </w:rPr>
        <w:fldChar w:fldCharType="separate"/>
      </w:r>
      <w:r>
        <w:rPr>
          <w:noProof/>
          <w:sz w:val="22"/>
          <w:szCs w:val="22"/>
        </w:rPr>
        <w:t>2</w:t>
      </w:r>
      <w:r w:rsidRPr="00D109F1">
        <w:rPr>
          <w:bCs/>
          <w:sz w:val="22"/>
          <w:szCs w:val="22"/>
        </w:rPr>
        <w:fldChar w:fldCharType="end"/>
      </w:r>
      <w:bookmarkEnd w:id="17"/>
      <w:r>
        <w:rPr>
          <w:sz w:val="22"/>
          <w:szCs w:val="22"/>
        </w:rPr>
        <w:t>:</w:t>
      </w:r>
      <w:r w:rsidRPr="00D109F1">
        <w:rPr>
          <w:sz w:val="22"/>
          <w:szCs w:val="22"/>
        </w:rPr>
        <w:tab/>
        <w:t xml:space="preserve">Adopted aquifer and </w:t>
      </w:r>
      <w:proofErr w:type="spellStart"/>
      <w:r w:rsidRPr="00D109F1">
        <w:rPr>
          <w:sz w:val="22"/>
          <w:szCs w:val="22"/>
        </w:rPr>
        <w:t>aquitard</w:t>
      </w:r>
      <w:proofErr w:type="spellEnd"/>
      <w:r w:rsidRPr="00D109F1">
        <w:rPr>
          <w:sz w:val="22"/>
          <w:szCs w:val="22"/>
        </w:rPr>
        <w:t xml:space="preserve"> hydraulic parameters and ranges in field estimates</w:t>
      </w:r>
      <w:bookmarkEnd w:id="18"/>
    </w:p>
    <w:tbl>
      <w:tblPr>
        <w:tblW w:w="4947"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90"/>
        <w:gridCol w:w="881"/>
        <w:gridCol w:w="1469"/>
        <w:gridCol w:w="1028"/>
        <w:gridCol w:w="1028"/>
        <w:gridCol w:w="1761"/>
        <w:gridCol w:w="1028"/>
        <w:gridCol w:w="1322"/>
      </w:tblGrid>
      <w:tr w:rsidR="001A6BA8" w:rsidRPr="00A60529" w14:paraId="20D1DF62" w14:textId="77777777" w:rsidTr="00EF487D">
        <w:trPr>
          <w:trHeight w:val="622"/>
        </w:trPr>
        <w:tc>
          <w:tcPr>
            <w:tcW w:w="658" w:type="pct"/>
            <w:vMerge w:val="restart"/>
            <w:vAlign w:val="center"/>
          </w:tcPr>
          <w:p w14:paraId="6FC8E3CE" w14:textId="77777777" w:rsidR="001A6BA8" w:rsidRPr="00A60529" w:rsidRDefault="001A6BA8" w:rsidP="00EF487D">
            <w:pPr>
              <w:spacing w:before="80" w:after="80"/>
              <w:jc w:val="center"/>
              <w:rPr>
                <w:b/>
                <w:sz w:val="22"/>
                <w:szCs w:val="22"/>
              </w:rPr>
            </w:pPr>
            <w:r w:rsidRPr="00A60529">
              <w:rPr>
                <w:b/>
                <w:sz w:val="22"/>
                <w:szCs w:val="22"/>
              </w:rPr>
              <w:t>Hydro-geological</w:t>
            </w:r>
            <w:r w:rsidRPr="00A60529">
              <w:rPr>
                <w:b/>
                <w:sz w:val="22"/>
                <w:szCs w:val="22"/>
              </w:rPr>
              <w:br/>
              <w:t>unit</w:t>
            </w:r>
          </w:p>
        </w:tc>
        <w:tc>
          <w:tcPr>
            <w:tcW w:w="449" w:type="pct"/>
            <w:vMerge w:val="restart"/>
            <w:vAlign w:val="center"/>
          </w:tcPr>
          <w:p w14:paraId="08D84ED9" w14:textId="77777777" w:rsidR="001A6BA8" w:rsidRPr="00A60529" w:rsidRDefault="001A6BA8" w:rsidP="00EF487D">
            <w:pPr>
              <w:spacing w:before="80" w:after="80"/>
              <w:jc w:val="center"/>
              <w:rPr>
                <w:b/>
                <w:sz w:val="22"/>
                <w:szCs w:val="22"/>
              </w:rPr>
            </w:pPr>
            <w:r w:rsidRPr="00A60529">
              <w:rPr>
                <w:b/>
                <w:sz w:val="22"/>
                <w:szCs w:val="22"/>
              </w:rPr>
              <w:t>Model layer</w:t>
            </w:r>
          </w:p>
        </w:tc>
        <w:tc>
          <w:tcPr>
            <w:tcW w:w="1796" w:type="pct"/>
            <w:gridSpan w:val="3"/>
            <w:vAlign w:val="center"/>
          </w:tcPr>
          <w:p w14:paraId="6D559BCB" w14:textId="77777777" w:rsidR="001A6BA8" w:rsidRPr="00A60529" w:rsidRDefault="001A6BA8" w:rsidP="00EF487D">
            <w:pPr>
              <w:spacing w:after="0"/>
              <w:jc w:val="center"/>
              <w:rPr>
                <w:b/>
                <w:sz w:val="22"/>
                <w:szCs w:val="22"/>
              </w:rPr>
            </w:pPr>
            <w:r w:rsidRPr="00A60529">
              <w:rPr>
                <w:b/>
                <w:sz w:val="22"/>
                <w:szCs w:val="22"/>
              </w:rPr>
              <w:t>Modelled hydraulic parameters</w:t>
            </w:r>
          </w:p>
        </w:tc>
        <w:tc>
          <w:tcPr>
            <w:tcW w:w="1422" w:type="pct"/>
            <w:gridSpan w:val="2"/>
          </w:tcPr>
          <w:p w14:paraId="0846A719" w14:textId="77777777" w:rsidR="001A6BA8" w:rsidRPr="00A60529" w:rsidRDefault="001A6BA8" w:rsidP="00EF487D">
            <w:pPr>
              <w:spacing w:after="0"/>
              <w:jc w:val="center"/>
              <w:rPr>
                <w:b/>
                <w:sz w:val="22"/>
                <w:szCs w:val="22"/>
              </w:rPr>
            </w:pPr>
            <w:r w:rsidRPr="00A60529">
              <w:rPr>
                <w:b/>
                <w:sz w:val="22"/>
                <w:szCs w:val="22"/>
              </w:rPr>
              <w:t>Estimates of hydraulic parameters</w:t>
            </w:r>
          </w:p>
        </w:tc>
        <w:tc>
          <w:tcPr>
            <w:tcW w:w="674" w:type="pct"/>
            <w:vMerge w:val="restart"/>
          </w:tcPr>
          <w:p w14:paraId="19851060" w14:textId="77777777" w:rsidR="001A6BA8" w:rsidRPr="00A60529" w:rsidRDefault="001A6BA8" w:rsidP="00EF487D">
            <w:pPr>
              <w:spacing w:before="80" w:after="80"/>
              <w:jc w:val="center"/>
              <w:rPr>
                <w:b/>
                <w:sz w:val="22"/>
                <w:szCs w:val="22"/>
              </w:rPr>
            </w:pPr>
            <w:r w:rsidRPr="00A60529">
              <w:rPr>
                <w:b/>
                <w:sz w:val="22"/>
                <w:szCs w:val="22"/>
              </w:rPr>
              <w:t>Data sources</w:t>
            </w:r>
          </w:p>
        </w:tc>
      </w:tr>
      <w:tr w:rsidR="001A6BA8" w:rsidRPr="00A60529" w14:paraId="05586EB5" w14:textId="77777777" w:rsidTr="00EF487D">
        <w:trPr>
          <w:trHeight w:val="193"/>
        </w:trPr>
        <w:tc>
          <w:tcPr>
            <w:tcW w:w="658" w:type="pct"/>
            <w:vMerge/>
            <w:vAlign w:val="center"/>
          </w:tcPr>
          <w:p w14:paraId="2E738865" w14:textId="77777777" w:rsidR="001A6BA8" w:rsidRPr="00A60529" w:rsidRDefault="001A6BA8" w:rsidP="00EF487D">
            <w:pPr>
              <w:spacing w:before="80" w:after="80"/>
              <w:jc w:val="center"/>
              <w:rPr>
                <w:b/>
                <w:sz w:val="22"/>
                <w:szCs w:val="22"/>
              </w:rPr>
            </w:pPr>
          </w:p>
        </w:tc>
        <w:tc>
          <w:tcPr>
            <w:tcW w:w="449" w:type="pct"/>
            <w:vMerge/>
            <w:vAlign w:val="center"/>
          </w:tcPr>
          <w:p w14:paraId="214463B5" w14:textId="77777777" w:rsidR="001A6BA8" w:rsidRPr="00A60529" w:rsidRDefault="001A6BA8" w:rsidP="00EF487D">
            <w:pPr>
              <w:spacing w:before="80" w:after="80"/>
              <w:jc w:val="center"/>
              <w:rPr>
                <w:b/>
                <w:sz w:val="22"/>
                <w:szCs w:val="22"/>
              </w:rPr>
            </w:pPr>
          </w:p>
        </w:tc>
        <w:tc>
          <w:tcPr>
            <w:tcW w:w="749" w:type="pct"/>
            <w:vAlign w:val="center"/>
          </w:tcPr>
          <w:p w14:paraId="57B1E880" w14:textId="77777777" w:rsidR="001A6BA8" w:rsidRPr="00A60529" w:rsidRDefault="001A6BA8" w:rsidP="00EF487D">
            <w:pPr>
              <w:spacing w:before="80" w:after="80"/>
              <w:jc w:val="center"/>
              <w:rPr>
                <w:b/>
                <w:sz w:val="22"/>
                <w:szCs w:val="22"/>
              </w:rPr>
            </w:pPr>
            <w:proofErr w:type="spellStart"/>
            <w:r w:rsidRPr="00A60529">
              <w:rPr>
                <w:b/>
                <w:sz w:val="22"/>
                <w:szCs w:val="22"/>
              </w:rPr>
              <w:t>Kh</w:t>
            </w:r>
            <w:proofErr w:type="spellEnd"/>
            <w:r w:rsidRPr="00A60529">
              <w:rPr>
                <w:b/>
                <w:sz w:val="22"/>
                <w:szCs w:val="22"/>
              </w:rPr>
              <w:t xml:space="preserve"> (m/d)</w:t>
            </w:r>
          </w:p>
        </w:tc>
        <w:tc>
          <w:tcPr>
            <w:tcW w:w="524" w:type="pct"/>
            <w:vAlign w:val="center"/>
          </w:tcPr>
          <w:p w14:paraId="5F3156DB" w14:textId="77777777" w:rsidR="001A6BA8" w:rsidRPr="00A60529" w:rsidRDefault="001A6BA8" w:rsidP="00EF487D">
            <w:pPr>
              <w:spacing w:before="80" w:after="80"/>
              <w:jc w:val="center"/>
              <w:rPr>
                <w:b/>
                <w:sz w:val="22"/>
                <w:szCs w:val="22"/>
              </w:rPr>
            </w:pPr>
            <w:proofErr w:type="spellStart"/>
            <w:r w:rsidRPr="00A60529">
              <w:rPr>
                <w:b/>
                <w:sz w:val="22"/>
                <w:szCs w:val="22"/>
              </w:rPr>
              <w:t>Kv</w:t>
            </w:r>
            <w:proofErr w:type="spellEnd"/>
            <w:r w:rsidRPr="00A60529">
              <w:rPr>
                <w:b/>
                <w:sz w:val="22"/>
                <w:szCs w:val="22"/>
              </w:rPr>
              <w:t xml:space="preserve"> (m/d)</w:t>
            </w:r>
          </w:p>
        </w:tc>
        <w:tc>
          <w:tcPr>
            <w:tcW w:w="524" w:type="pct"/>
            <w:vAlign w:val="center"/>
          </w:tcPr>
          <w:p w14:paraId="02DE0008" w14:textId="77777777" w:rsidR="001A6BA8" w:rsidRPr="00A60529" w:rsidRDefault="001A6BA8" w:rsidP="00EF487D">
            <w:pPr>
              <w:spacing w:before="80" w:after="80"/>
              <w:jc w:val="center"/>
              <w:rPr>
                <w:b/>
                <w:sz w:val="22"/>
                <w:szCs w:val="22"/>
              </w:rPr>
            </w:pPr>
            <w:proofErr w:type="spellStart"/>
            <w:r w:rsidRPr="00A60529">
              <w:rPr>
                <w:b/>
                <w:sz w:val="22"/>
                <w:szCs w:val="22"/>
              </w:rPr>
              <w:t>Ss</w:t>
            </w:r>
            <w:proofErr w:type="spellEnd"/>
            <w:r w:rsidRPr="00A60529">
              <w:rPr>
                <w:b/>
                <w:sz w:val="22"/>
                <w:szCs w:val="22"/>
              </w:rPr>
              <w:t xml:space="preserve"> (-/m)</w:t>
            </w:r>
          </w:p>
        </w:tc>
        <w:tc>
          <w:tcPr>
            <w:tcW w:w="898" w:type="pct"/>
            <w:vAlign w:val="center"/>
          </w:tcPr>
          <w:p w14:paraId="19B3D8AC" w14:textId="77777777" w:rsidR="001A6BA8" w:rsidRPr="00A60529" w:rsidRDefault="001A6BA8" w:rsidP="00EF487D">
            <w:pPr>
              <w:spacing w:before="80" w:after="80"/>
              <w:jc w:val="center"/>
              <w:rPr>
                <w:b/>
                <w:sz w:val="22"/>
                <w:szCs w:val="22"/>
              </w:rPr>
            </w:pPr>
            <w:proofErr w:type="spellStart"/>
            <w:r w:rsidRPr="00A60529">
              <w:rPr>
                <w:b/>
                <w:sz w:val="22"/>
                <w:szCs w:val="22"/>
              </w:rPr>
              <w:t>Kh</w:t>
            </w:r>
            <w:proofErr w:type="spellEnd"/>
            <w:r w:rsidRPr="00A60529">
              <w:rPr>
                <w:b/>
                <w:sz w:val="22"/>
                <w:szCs w:val="22"/>
              </w:rPr>
              <w:t xml:space="preserve"> (m/d)</w:t>
            </w:r>
          </w:p>
        </w:tc>
        <w:tc>
          <w:tcPr>
            <w:tcW w:w="524" w:type="pct"/>
            <w:vAlign w:val="center"/>
          </w:tcPr>
          <w:p w14:paraId="238C06F2" w14:textId="77777777" w:rsidR="001A6BA8" w:rsidRPr="00A60529" w:rsidRDefault="001A6BA8" w:rsidP="00EF487D">
            <w:pPr>
              <w:spacing w:before="80" w:after="80"/>
              <w:jc w:val="center"/>
              <w:rPr>
                <w:b/>
                <w:sz w:val="22"/>
                <w:szCs w:val="22"/>
              </w:rPr>
            </w:pPr>
            <w:r w:rsidRPr="00A60529">
              <w:rPr>
                <w:b/>
                <w:sz w:val="22"/>
                <w:szCs w:val="22"/>
              </w:rPr>
              <w:t>S (-)</w:t>
            </w:r>
          </w:p>
        </w:tc>
        <w:tc>
          <w:tcPr>
            <w:tcW w:w="674" w:type="pct"/>
            <w:vMerge/>
          </w:tcPr>
          <w:p w14:paraId="4DF32ED5" w14:textId="77777777" w:rsidR="001A6BA8" w:rsidRPr="00A60529" w:rsidRDefault="001A6BA8" w:rsidP="00EF487D">
            <w:pPr>
              <w:spacing w:before="80" w:after="80"/>
              <w:jc w:val="center"/>
              <w:rPr>
                <w:b/>
                <w:sz w:val="22"/>
                <w:szCs w:val="22"/>
              </w:rPr>
            </w:pPr>
          </w:p>
        </w:tc>
      </w:tr>
      <w:tr w:rsidR="001A6BA8" w:rsidRPr="00A60529" w14:paraId="24B9ACF0" w14:textId="77777777" w:rsidTr="00EF487D">
        <w:trPr>
          <w:trHeight w:val="822"/>
        </w:trPr>
        <w:tc>
          <w:tcPr>
            <w:tcW w:w="658" w:type="pct"/>
            <w:vAlign w:val="center"/>
          </w:tcPr>
          <w:p w14:paraId="2C9BDA9D" w14:textId="77777777" w:rsidR="001A6BA8" w:rsidRPr="00A60529" w:rsidRDefault="001A6BA8" w:rsidP="00EF487D">
            <w:pPr>
              <w:spacing w:before="80" w:after="80"/>
              <w:jc w:val="center"/>
              <w:rPr>
                <w:b/>
                <w:sz w:val="22"/>
                <w:szCs w:val="22"/>
              </w:rPr>
            </w:pPr>
            <w:r w:rsidRPr="00A60529">
              <w:rPr>
                <w:b/>
                <w:sz w:val="22"/>
                <w:szCs w:val="22"/>
              </w:rPr>
              <w:t>J Aquifer</w:t>
            </w:r>
          </w:p>
        </w:tc>
        <w:tc>
          <w:tcPr>
            <w:tcW w:w="449" w:type="pct"/>
            <w:vAlign w:val="center"/>
          </w:tcPr>
          <w:p w14:paraId="721E9019" w14:textId="77777777" w:rsidR="001A6BA8" w:rsidRPr="00A60529" w:rsidRDefault="001A6BA8" w:rsidP="00EF487D">
            <w:pPr>
              <w:spacing w:before="20"/>
              <w:jc w:val="center"/>
              <w:rPr>
                <w:sz w:val="22"/>
                <w:szCs w:val="22"/>
                <w:lang w:eastAsia="en-AU"/>
              </w:rPr>
            </w:pPr>
            <w:r w:rsidRPr="00A60529">
              <w:rPr>
                <w:sz w:val="22"/>
                <w:szCs w:val="22"/>
                <w:lang w:eastAsia="en-AU"/>
              </w:rPr>
              <w:t>2</w:t>
            </w:r>
          </w:p>
        </w:tc>
        <w:tc>
          <w:tcPr>
            <w:tcW w:w="749" w:type="pct"/>
            <w:vAlign w:val="center"/>
          </w:tcPr>
          <w:p w14:paraId="198B11D6" w14:textId="77777777" w:rsidR="001A6BA8" w:rsidRPr="00A60529" w:rsidRDefault="001A6BA8" w:rsidP="00EF487D">
            <w:pPr>
              <w:spacing w:before="20" w:after="60"/>
              <w:jc w:val="center"/>
              <w:rPr>
                <w:sz w:val="22"/>
                <w:szCs w:val="22"/>
                <w:lang w:eastAsia="en-AU"/>
              </w:rPr>
            </w:pPr>
            <w:r w:rsidRPr="00A60529">
              <w:rPr>
                <w:sz w:val="22"/>
                <w:szCs w:val="22"/>
                <w:lang w:eastAsia="en-AU"/>
              </w:rPr>
              <w:t>7</w:t>
            </w:r>
          </w:p>
          <w:p w14:paraId="0737F0DF" w14:textId="77777777" w:rsidR="001A6BA8" w:rsidRPr="00A60529" w:rsidRDefault="001A6BA8" w:rsidP="00EF487D">
            <w:pPr>
              <w:spacing w:before="20" w:after="60"/>
              <w:jc w:val="center"/>
              <w:rPr>
                <w:sz w:val="22"/>
                <w:szCs w:val="22"/>
                <w:lang w:eastAsia="en-AU"/>
              </w:rPr>
            </w:pPr>
            <w:r w:rsidRPr="00A60529">
              <w:rPr>
                <w:sz w:val="22"/>
                <w:szCs w:val="22"/>
                <w:lang w:eastAsia="en-AU"/>
              </w:rPr>
              <w:t>(20 in a small zone )</w:t>
            </w:r>
          </w:p>
        </w:tc>
        <w:tc>
          <w:tcPr>
            <w:tcW w:w="524" w:type="pct"/>
            <w:vAlign w:val="center"/>
          </w:tcPr>
          <w:p w14:paraId="08206259" w14:textId="77777777" w:rsidR="001A6BA8" w:rsidRPr="00A60529" w:rsidRDefault="001A6BA8" w:rsidP="00EF487D">
            <w:pPr>
              <w:spacing w:before="20"/>
              <w:jc w:val="center"/>
              <w:rPr>
                <w:sz w:val="22"/>
                <w:szCs w:val="22"/>
                <w:lang w:eastAsia="en-AU"/>
              </w:rPr>
            </w:pPr>
            <w:r w:rsidRPr="00A60529">
              <w:rPr>
                <w:sz w:val="22"/>
                <w:szCs w:val="22"/>
                <w:lang w:eastAsia="en-AU"/>
              </w:rPr>
              <w:t>0.7 - 2</w:t>
            </w:r>
          </w:p>
        </w:tc>
        <w:tc>
          <w:tcPr>
            <w:tcW w:w="524" w:type="pct"/>
            <w:vAlign w:val="center"/>
          </w:tcPr>
          <w:p w14:paraId="5D69A0CF" w14:textId="77777777" w:rsidR="001A6BA8" w:rsidRPr="00A60529" w:rsidRDefault="001A6BA8" w:rsidP="00EF487D">
            <w:pPr>
              <w:spacing w:before="20"/>
              <w:jc w:val="center"/>
              <w:rPr>
                <w:sz w:val="22"/>
                <w:szCs w:val="22"/>
                <w:lang w:eastAsia="en-AU"/>
              </w:rPr>
            </w:pPr>
            <w:r w:rsidRPr="00A60529">
              <w:rPr>
                <w:sz w:val="22"/>
                <w:szCs w:val="22"/>
                <w:lang w:eastAsia="en-AU"/>
              </w:rPr>
              <w:t>1 x 10</w:t>
            </w:r>
            <w:r w:rsidRPr="00A60529">
              <w:rPr>
                <w:sz w:val="22"/>
                <w:szCs w:val="22"/>
                <w:vertAlign w:val="superscript"/>
                <w:lang w:eastAsia="en-AU"/>
              </w:rPr>
              <w:t>-5</w:t>
            </w:r>
          </w:p>
        </w:tc>
        <w:tc>
          <w:tcPr>
            <w:tcW w:w="898" w:type="pct"/>
            <w:vAlign w:val="center"/>
          </w:tcPr>
          <w:p w14:paraId="384B130B" w14:textId="77777777" w:rsidR="001A6BA8" w:rsidRPr="00A60529" w:rsidRDefault="001A6BA8" w:rsidP="00EF487D">
            <w:pPr>
              <w:spacing w:before="20"/>
              <w:jc w:val="center"/>
              <w:rPr>
                <w:sz w:val="22"/>
                <w:szCs w:val="22"/>
                <w:lang w:eastAsia="en-AU"/>
              </w:rPr>
            </w:pPr>
            <w:r w:rsidRPr="00A60529">
              <w:rPr>
                <w:sz w:val="22"/>
                <w:szCs w:val="22"/>
                <w:lang w:eastAsia="en-AU"/>
              </w:rPr>
              <w:t>Lower value 0.1 to 1.6 ; higher value 7 to 20</w:t>
            </w:r>
          </w:p>
        </w:tc>
        <w:tc>
          <w:tcPr>
            <w:tcW w:w="524" w:type="pct"/>
            <w:vAlign w:val="center"/>
          </w:tcPr>
          <w:p w14:paraId="332671C7" w14:textId="77777777" w:rsidR="001A6BA8" w:rsidRPr="00A60529" w:rsidRDefault="001A6BA8" w:rsidP="00EF487D">
            <w:pPr>
              <w:spacing w:before="20" w:after="60"/>
              <w:jc w:val="center"/>
              <w:rPr>
                <w:sz w:val="22"/>
                <w:szCs w:val="22"/>
                <w:lang w:eastAsia="en-AU"/>
              </w:rPr>
            </w:pPr>
            <w:r w:rsidRPr="00A60529">
              <w:rPr>
                <w:sz w:val="22"/>
                <w:szCs w:val="22"/>
                <w:lang w:eastAsia="en-AU"/>
              </w:rPr>
              <w:t xml:space="preserve"> 7 x 10</w:t>
            </w:r>
            <w:r w:rsidRPr="00A60529">
              <w:rPr>
                <w:sz w:val="22"/>
                <w:szCs w:val="22"/>
                <w:vertAlign w:val="superscript"/>
                <w:lang w:eastAsia="en-AU"/>
              </w:rPr>
              <w:t>-6</w:t>
            </w:r>
            <w:r w:rsidRPr="00A60529">
              <w:rPr>
                <w:sz w:val="22"/>
                <w:szCs w:val="22"/>
                <w:lang w:eastAsia="en-AU"/>
              </w:rPr>
              <w:t xml:space="preserve"> to </w:t>
            </w:r>
            <w:r w:rsidRPr="00A60529">
              <w:rPr>
                <w:sz w:val="22"/>
                <w:szCs w:val="22"/>
                <w:lang w:eastAsia="en-AU"/>
              </w:rPr>
              <w:br/>
              <w:t>7 x 10</w:t>
            </w:r>
            <w:r w:rsidRPr="00A60529">
              <w:rPr>
                <w:sz w:val="22"/>
                <w:szCs w:val="22"/>
                <w:vertAlign w:val="superscript"/>
                <w:lang w:eastAsia="en-AU"/>
              </w:rPr>
              <w:t>-3</w:t>
            </w:r>
          </w:p>
        </w:tc>
        <w:tc>
          <w:tcPr>
            <w:tcW w:w="674" w:type="pct"/>
            <w:vAlign w:val="center"/>
          </w:tcPr>
          <w:p w14:paraId="64E79E88" w14:textId="77777777" w:rsidR="001A6BA8" w:rsidRPr="00A60529" w:rsidRDefault="001A6BA8" w:rsidP="00EF487D">
            <w:pPr>
              <w:spacing w:before="20"/>
              <w:jc w:val="center"/>
              <w:rPr>
                <w:sz w:val="22"/>
                <w:szCs w:val="22"/>
                <w:lang w:eastAsia="en-AU"/>
              </w:rPr>
            </w:pPr>
            <w:r w:rsidRPr="00A60529">
              <w:rPr>
                <w:sz w:val="22"/>
                <w:szCs w:val="22"/>
                <w:lang w:eastAsia="en-AU"/>
              </w:rPr>
              <w:t>Keppel et al (2013)</w:t>
            </w:r>
          </w:p>
        </w:tc>
      </w:tr>
      <w:tr w:rsidR="001A6BA8" w:rsidRPr="00A60529" w14:paraId="340E6928" w14:textId="77777777" w:rsidTr="00EF487D">
        <w:trPr>
          <w:trHeight w:val="420"/>
        </w:trPr>
        <w:tc>
          <w:tcPr>
            <w:tcW w:w="658" w:type="pct"/>
            <w:vAlign w:val="center"/>
          </w:tcPr>
          <w:p w14:paraId="022C2B63" w14:textId="77777777" w:rsidR="001A6BA8" w:rsidRPr="00A60529" w:rsidRDefault="001A6BA8" w:rsidP="00EF487D">
            <w:pPr>
              <w:spacing w:before="80" w:after="80"/>
              <w:jc w:val="center"/>
              <w:rPr>
                <w:b/>
                <w:sz w:val="22"/>
                <w:szCs w:val="22"/>
              </w:rPr>
            </w:pPr>
            <w:r w:rsidRPr="00A60529">
              <w:rPr>
                <w:b/>
                <w:sz w:val="22"/>
                <w:szCs w:val="22"/>
              </w:rPr>
              <w:t>Triassic</w:t>
            </w:r>
          </w:p>
        </w:tc>
        <w:tc>
          <w:tcPr>
            <w:tcW w:w="449" w:type="pct"/>
            <w:vAlign w:val="center"/>
          </w:tcPr>
          <w:p w14:paraId="73893148" w14:textId="77777777" w:rsidR="001A6BA8" w:rsidRPr="00A60529" w:rsidRDefault="001A6BA8" w:rsidP="00EF487D">
            <w:pPr>
              <w:spacing w:before="20"/>
              <w:jc w:val="center"/>
              <w:rPr>
                <w:sz w:val="22"/>
                <w:szCs w:val="22"/>
                <w:lang w:eastAsia="en-AU"/>
              </w:rPr>
            </w:pPr>
            <w:r w:rsidRPr="00A60529">
              <w:rPr>
                <w:sz w:val="22"/>
                <w:szCs w:val="22"/>
                <w:lang w:eastAsia="en-AU"/>
              </w:rPr>
              <w:t>3</w:t>
            </w:r>
          </w:p>
        </w:tc>
        <w:tc>
          <w:tcPr>
            <w:tcW w:w="749" w:type="pct"/>
            <w:vAlign w:val="center"/>
          </w:tcPr>
          <w:p w14:paraId="71347976" w14:textId="77777777" w:rsidR="001A6BA8" w:rsidRPr="00A60529" w:rsidRDefault="001A6BA8" w:rsidP="00EF487D">
            <w:pPr>
              <w:spacing w:before="20"/>
              <w:jc w:val="center"/>
              <w:rPr>
                <w:sz w:val="22"/>
                <w:szCs w:val="22"/>
                <w:lang w:eastAsia="en-AU"/>
              </w:rPr>
            </w:pPr>
            <w:r w:rsidRPr="00A60529">
              <w:rPr>
                <w:sz w:val="22"/>
                <w:szCs w:val="22"/>
                <w:lang w:eastAsia="en-AU"/>
              </w:rPr>
              <w:t>1 x 10</w:t>
            </w:r>
            <w:r w:rsidRPr="00A60529">
              <w:rPr>
                <w:sz w:val="22"/>
                <w:szCs w:val="22"/>
                <w:vertAlign w:val="superscript"/>
                <w:lang w:eastAsia="en-AU"/>
              </w:rPr>
              <w:t>-7</w:t>
            </w:r>
          </w:p>
        </w:tc>
        <w:tc>
          <w:tcPr>
            <w:tcW w:w="524" w:type="pct"/>
            <w:vAlign w:val="center"/>
          </w:tcPr>
          <w:p w14:paraId="0524A0C7" w14:textId="77777777" w:rsidR="001A6BA8" w:rsidRPr="00A60529" w:rsidRDefault="001A6BA8" w:rsidP="00EF487D">
            <w:pPr>
              <w:spacing w:before="20"/>
              <w:jc w:val="center"/>
              <w:rPr>
                <w:sz w:val="22"/>
                <w:szCs w:val="22"/>
                <w:lang w:eastAsia="en-AU"/>
              </w:rPr>
            </w:pPr>
            <w:r w:rsidRPr="00A60529">
              <w:rPr>
                <w:sz w:val="22"/>
                <w:szCs w:val="22"/>
                <w:lang w:eastAsia="en-AU"/>
              </w:rPr>
              <w:t>1 x 10</w:t>
            </w:r>
            <w:r w:rsidRPr="00A60529">
              <w:rPr>
                <w:sz w:val="22"/>
                <w:szCs w:val="22"/>
                <w:vertAlign w:val="superscript"/>
                <w:lang w:eastAsia="en-AU"/>
              </w:rPr>
              <w:t>-7</w:t>
            </w:r>
          </w:p>
        </w:tc>
        <w:tc>
          <w:tcPr>
            <w:tcW w:w="524" w:type="pct"/>
            <w:vAlign w:val="center"/>
          </w:tcPr>
          <w:p w14:paraId="69389DF9" w14:textId="77777777" w:rsidR="001A6BA8" w:rsidRPr="00A60529" w:rsidRDefault="001A6BA8" w:rsidP="00EF487D">
            <w:pPr>
              <w:spacing w:before="20"/>
              <w:jc w:val="center"/>
              <w:rPr>
                <w:sz w:val="22"/>
                <w:szCs w:val="22"/>
                <w:lang w:eastAsia="en-AU"/>
              </w:rPr>
            </w:pPr>
            <w:r w:rsidRPr="00A60529">
              <w:rPr>
                <w:sz w:val="22"/>
                <w:szCs w:val="22"/>
                <w:lang w:eastAsia="en-AU"/>
              </w:rPr>
              <w:t>1 x 10</w:t>
            </w:r>
            <w:r w:rsidRPr="00A60529">
              <w:rPr>
                <w:sz w:val="22"/>
                <w:szCs w:val="22"/>
                <w:vertAlign w:val="superscript"/>
                <w:lang w:eastAsia="en-AU"/>
              </w:rPr>
              <w:t>-5</w:t>
            </w:r>
          </w:p>
        </w:tc>
        <w:tc>
          <w:tcPr>
            <w:tcW w:w="898" w:type="pct"/>
            <w:vAlign w:val="center"/>
          </w:tcPr>
          <w:p w14:paraId="3C1155B0" w14:textId="77777777" w:rsidR="001A6BA8" w:rsidRPr="00A60529" w:rsidRDefault="001A6BA8" w:rsidP="00EF487D">
            <w:pPr>
              <w:spacing w:before="20"/>
              <w:jc w:val="center"/>
              <w:rPr>
                <w:sz w:val="22"/>
                <w:szCs w:val="22"/>
                <w:lang w:eastAsia="en-AU"/>
              </w:rPr>
            </w:pPr>
            <w:r w:rsidRPr="00A60529">
              <w:rPr>
                <w:sz w:val="22"/>
                <w:szCs w:val="22"/>
                <w:lang w:eastAsia="en-AU"/>
              </w:rPr>
              <w:t>No data</w:t>
            </w:r>
          </w:p>
        </w:tc>
        <w:tc>
          <w:tcPr>
            <w:tcW w:w="524" w:type="pct"/>
            <w:vAlign w:val="center"/>
          </w:tcPr>
          <w:p w14:paraId="001120ED" w14:textId="77777777" w:rsidR="001A6BA8" w:rsidRPr="00A60529" w:rsidRDefault="001A6BA8" w:rsidP="00EF487D">
            <w:pPr>
              <w:spacing w:before="20"/>
              <w:jc w:val="center"/>
              <w:rPr>
                <w:sz w:val="22"/>
                <w:szCs w:val="22"/>
                <w:lang w:eastAsia="en-AU"/>
              </w:rPr>
            </w:pPr>
            <w:r w:rsidRPr="00A60529">
              <w:rPr>
                <w:sz w:val="22"/>
                <w:szCs w:val="22"/>
                <w:lang w:eastAsia="en-AU"/>
              </w:rPr>
              <w:t>No data</w:t>
            </w:r>
          </w:p>
        </w:tc>
        <w:tc>
          <w:tcPr>
            <w:tcW w:w="674" w:type="pct"/>
            <w:vAlign w:val="center"/>
          </w:tcPr>
          <w:p w14:paraId="2C28CB5D" w14:textId="77777777" w:rsidR="001A6BA8" w:rsidRPr="00A60529" w:rsidRDefault="001A6BA8" w:rsidP="00EF487D">
            <w:pPr>
              <w:spacing w:before="20"/>
              <w:jc w:val="center"/>
              <w:rPr>
                <w:sz w:val="22"/>
                <w:szCs w:val="22"/>
                <w:lang w:eastAsia="en-AU"/>
              </w:rPr>
            </w:pPr>
          </w:p>
        </w:tc>
      </w:tr>
      <w:tr w:rsidR="001A6BA8" w:rsidRPr="00A60529" w14:paraId="2EA5F256" w14:textId="77777777" w:rsidTr="00EF487D">
        <w:trPr>
          <w:trHeight w:val="503"/>
        </w:trPr>
        <w:tc>
          <w:tcPr>
            <w:tcW w:w="658" w:type="pct"/>
            <w:vAlign w:val="center"/>
          </w:tcPr>
          <w:p w14:paraId="27E4F7C1" w14:textId="77777777" w:rsidR="001A6BA8" w:rsidRPr="00A60529" w:rsidRDefault="001A6BA8" w:rsidP="00EF487D">
            <w:pPr>
              <w:spacing w:before="80" w:after="80"/>
              <w:jc w:val="center"/>
              <w:rPr>
                <w:b/>
                <w:sz w:val="22"/>
                <w:szCs w:val="22"/>
              </w:rPr>
            </w:pPr>
            <w:proofErr w:type="spellStart"/>
            <w:r w:rsidRPr="00A60529">
              <w:rPr>
                <w:b/>
                <w:sz w:val="22"/>
                <w:szCs w:val="22"/>
              </w:rPr>
              <w:t>Purni</w:t>
            </w:r>
            <w:proofErr w:type="spellEnd"/>
            <w:r w:rsidRPr="00A60529">
              <w:rPr>
                <w:b/>
                <w:sz w:val="22"/>
                <w:szCs w:val="22"/>
              </w:rPr>
              <w:t xml:space="preserve"> Formation</w:t>
            </w:r>
          </w:p>
        </w:tc>
        <w:tc>
          <w:tcPr>
            <w:tcW w:w="449" w:type="pct"/>
            <w:vAlign w:val="center"/>
          </w:tcPr>
          <w:p w14:paraId="160160E3" w14:textId="77777777" w:rsidR="001A6BA8" w:rsidRPr="00A60529" w:rsidRDefault="001A6BA8" w:rsidP="00EF487D">
            <w:pPr>
              <w:spacing w:before="20"/>
              <w:jc w:val="center"/>
              <w:rPr>
                <w:sz w:val="22"/>
                <w:szCs w:val="22"/>
                <w:lang w:eastAsia="en-AU"/>
              </w:rPr>
            </w:pPr>
            <w:r w:rsidRPr="00A60529">
              <w:rPr>
                <w:sz w:val="22"/>
                <w:szCs w:val="22"/>
                <w:lang w:eastAsia="en-AU"/>
              </w:rPr>
              <w:t>4</w:t>
            </w:r>
          </w:p>
        </w:tc>
        <w:tc>
          <w:tcPr>
            <w:tcW w:w="749" w:type="pct"/>
            <w:vAlign w:val="center"/>
          </w:tcPr>
          <w:p w14:paraId="4DEE99AA" w14:textId="77777777" w:rsidR="001A6BA8" w:rsidRPr="00A60529" w:rsidRDefault="001A6BA8" w:rsidP="00EF487D">
            <w:pPr>
              <w:spacing w:before="20"/>
              <w:jc w:val="center"/>
              <w:rPr>
                <w:sz w:val="22"/>
                <w:szCs w:val="22"/>
                <w:lang w:eastAsia="en-AU"/>
              </w:rPr>
            </w:pPr>
            <w:r w:rsidRPr="00A60529">
              <w:rPr>
                <w:sz w:val="22"/>
                <w:szCs w:val="22"/>
                <w:lang w:eastAsia="en-AU"/>
              </w:rPr>
              <w:t>0.5</w:t>
            </w:r>
          </w:p>
        </w:tc>
        <w:tc>
          <w:tcPr>
            <w:tcW w:w="524" w:type="pct"/>
            <w:vAlign w:val="center"/>
          </w:tcPr>
          <w:p w14:paraId="5589E73F" w14:textId="77777777" w:rsidR="001A6BA8" w:rsidRPr="00A60529" w:rsidRDefault="001A6BA8" w:rsidP="00EF487D">
            <w:pPr>
              <w:spacing w:before="20"/>
              <w:jc w:val="center"/>
              <w:rPr>
                <w:sz w:val="22"/>
                <w:szCs w:val="22"/>
                <w:lang w:eastAsia="en-AU"/>
              </w:rPr>
            </w:pPr>
            <w:r w:rsidRPr="00A60529">
              <w:rPr>
                <w:sz w:val="22"/>
                <w:szCs w:val="22"/>
                <w:lang w:eastAsia="en-AU"/>
              </w:rPr>
              <w:t>0.05</w:t>
            </w:r>
          </w:p>
        </w:tc>
        <w:tc>
          <w:tcPr>
            <w:tcW w:w="524" w:type="pct"/>
            <w:vAlign w:val="center"/>
          </w:tcPr>
          <w:p w14:paraId="26794995" w14:textId="77777777" w:rsidR="001A6BA8" w:rsidRPr="00A60529" w:rsidRDefault="001A6BA8" w:rsidP="00EF487D">
            <w:pPr>
              <w:spacing w:before="20"/>
              <w:jc w:val="center"/>
              <w:rPr>
                <w:sz w:val="22"/>
                <w:szCs w:val="22"/>
                <w:lang w:eastAsia="en-AU"/>
              </w:rPr>
            </w:pPr>
            <w:r w:rsidRPr="00A60529">
              <w:rPr>
                <w:sz w:val="22"/>
                <w:szCs w:val="22"/>
                <w:lang w:eastAsia="en-AU"/>
              </w:rPr>
              <w:t>1 x 10</w:t>
            </w:r>
            <w:r w:rsidRPr="00A60529">
              <w:rPr>
                <w:sz w:val="22"/>
                <w:szCs w:val="22"/>
                <w:vertAlign w:val="superscript"/>
                <w:lang w:eastAsia="en-AU"/>
              </w:rPr>
              <w:t>-5</w:t>
            </w:r>
          </w:p>
        </w:tc>
        <w:tc>
          <w:tcPr>
            <w:tcW w:w="898" w:type="pct"/>
            <w:vAlign w:val="center"/>
          </w:tcPr>
          <w:p w14:paraId="1608AFF9" w14:textId="77777777" w:rsidR="001A6BA8" w:rsidRPr="00A60529" w:rsidRDefault="001A6BA8" w:rsidP="00EF487D">
            <w:pPr>
              <w:spacing w:before="20"/>
              <w:jc w:val="center"/>
              <w:rPr>
                <w:sz w:val="22"/>
                <w:szCs w:val="22"/>
                <w:lang w:eastAsia="en-AU"/>
              </w:rPr>
            </w:pPr>
            <w:r w:rsidRPr="00A60529">
              <w:rPr>
                <w:sz w:val="22"/>
                <w:szCs w:val="22"/>
                <w:lang w:eastAsia="en-AU"/>
              </w:rPr>
              <w:t>1.7x10</w:t>
            </w:r>
            <w:r w:rsidRPr="00A60529">
              <w:rPr>
                <w:sz w:val="22"/>
                <w:szCs w:val="22"/>
                <w:vertAlign w:val="superscript"/>
                <w:lang w:eastAsia="en-AU"/>
              </w:rPr>
              <w:t>-4</w:t>
            </w:r>
            <w:r w:rsidRPr="00A60529">
              <w:rPr>
                <w:sz w:val="22"/>
                <w:szCs w:val="22"/>
                <w:lang w:eastAsia="en-AU"/>
              </w:rPr>
              <w:t xml:space="preserve"> -2.44</w:t>
            </w:r>
          </w:p>
        </w:tc>
        <w:tc>
          <w:tcPr>
            <w:tcW w:w="524" w:type="pct"/>
            <w:vAlign w:val="center"/>
          </w:tcPr>
          <w:p w14:paraId="6653AAF0" w14:textId="77777777" w:rsidR="001A6BA8" w:rsidRPr="00A60529" w:rsidRDefault="001A6BA8" w:rsidP="00EF487D">
            <w:pPr>
              <w:spacing w:before="20"/>
              <w:jc w:val="center"/>
              <w:rPr>
                <w:sz w:val="22"/>
                <w:szCs w:val="22"/>
                <w:lang w:eastAsia="en-AU"/>
              </w:rPr>
            </w:pPr>
            <w:r w:rsidRPr="00A60529">
              <w:rPr>
                <w:sz w:val="22"/>
                <w:szCs w:val="22"/>
                <w:lang w:eastAsia="en-AU"/>
              </w:rPr>
              <w:t>No data</w:t>
            </w:r>
          </w:p>
        </w:tc>
        <w:tc>
          <w:tcPr>
            <w:tcW w:w="674" w:type="pct"/>
            <w:vAlign w:val="center"/>
          </w:tcPr>
          <w:p w14:paraId="32D19DF8" w14:textId="77777777" w:rsidR="001A6BA8" w:rsidRPr="00A60529" w:rsidRDefault="001A6BA8" w:rsidP="00EF487D">
            <w:pPr>
              <w:spacing w:before="20"/>
              <w:jc w:val="center"/>
              <w:rPr>
                <w:sz w:val="22"/>
                <w:szCs w:val="22"/>
                <w:lang w:eastAsia="en-AU"/>
              </w:rPr>
            </w:pPr>
            <w:r w:rsidRPr="00A60529">
              <w:rPr>
                <w:sz w:val="22"/>
                <w:szCs w:val="22"/>
                <w:lang w:eastAsia="en-AU"/>
              </w:rPr>
              <w:t>Wohling et al (2013)</w:t>
            </w:r>
          </w:p>
        </w:tc>
      </w:tr>
      <w:tr w:rsidR="001A6BA8" w:rsidRPr="00A60529" w14:paraId="42CDC8D7" w14:textId="77777777" w:rsidTr="00EF487D">
        <w:trPr>
          <w:trHeight w:val="782"/>
        </w:trPr>
        <w:tc>
          <w:tcPr>
            <w:tcW w:w="658" w:type="pct"/>
            <w:vAlign w:val="center"/>
          </w:tcPr>
          <w:p w14:paraId="2F4E8C68" w14:textId="77777777" w:rsidR="001A6BA8" w:rsidRPr="00A60529" w:rsidRDefault="001A6BA8" w:rsidP="00EF487D">
            <w:pPr>
              <w:spacing w:before="80" w:after="80"/>
              <w:jc w:val="center"/>
              <w:rPr>
                <w:b/>
                <w:sz w:val="22"/>
                <w:szCs w:val="22"/>
              </w:rPr>
            </w:pPr>
            <w:r w:rsidRPr="00A60529">
              <w:rPr>
                <w:b/>
                <w:sz w:val="22"/>
                <w:szCs w:val="22"/>
              </w:rPr>
              <w:t>Crown Point Formation</w:t>
            </w:r>
          </w:p>
        </w:tc>
        <w:tc>
          <w:tcPr>
            <w:tcW w:w="449" w:type="pct"/>
            <w:vAlign w:val="center"/>
          </w:tcPr>
          <w:p w14:paraId="736D5057" w14:textId="77777777" w:rsidR="001A6BA8" w:rsidRPr="00A60529" w:rsidRDefault="001A6BA8" w:rsidP="00EF487D">
            <w:pPr>
              <w:spacing w:before="20"/>
              <w:jc w:val="center"/>
              <w:rPr>
                <w:sz w:val="22"/>
                <w:szCs w:val="22"/>
                <w:lang w:eastAsia="en-AU"/>
              </w:rPr>
            </w:pPr>
            <w:r w:rsidRPr="00A60529">
              <w:rPr>
                <w:sz w:val="22"/>
                <w:szCs w:val="22"/>
                <w:lang w:eastAsia="en-AU"/>
              </w:rPr>
              <w:t>5</w:t>
            </w:r>
          </w:p>
        </w:tc>
        <w:tc>
          <w:tcPr>
            <w:tcW w:w="749" w:type="pct"/>
            <w:vAlign w:val="center"/>
          </w:tcPr>
          <w:p w14:paraId="43AFFC49" w14:textId="77777777" w:rsidR="001A6BA8" w:rsidRPr="00A60529" w:rsidRDefault="001A6BA8" w:rsidP="00EF487D">
            <w:pPr>
              <w:spacing w:before="20" w:after="60"/>
              <w:jc w:val="center"/>
              <w:rPr>
                <w:sz w:val="22"/>
                <w:szCs w:val="22"/>
                <w:lang w:eastAsia="en-AU"/>
              </w:rPr>
            </w:pPr>
            <w:r w:rsidRPr="00A60529">
              <w:rPr>
                <w:sz w:val="22"/>
                <w:szCs w:val="22"/>
                <w:lang w:eastAsia="en-AU"/>
              </w:rPr>
              <w:t>1</w:t>
            </w:r>
          </w:p>
          <w:p w14:paraId="516E5EE6" w14:textId="77777777" w:rsidR="001A6BA8" w:rsidRPr="00A60529" w:rsidRDefault="001A6BA8" w:rsidP="00EF487D">
            <w:pPr>
              <w:spacing w:before="20" w:after="60"/>
              <w:jc w:val="center"/>
              <w:rPr>
                <w:sz w:val="22"/>
                <w:szCs w:val="22"/>
                <w:lang w:eastAsia="en-AU"/>
              </w:rPr>
            </w:pPr>
            <w:r w:rsidRPr="00A60529">
              <w:rPr>
                <w:sz w:val="22"/>
                <w:szCs w:val="22"/>
                <w:lang w:eastAsia="en-AU"/>
              </w:rPr>
              <w:t>(20 in a small zone)</w:t>
            </w:r>
          </w:p>
        </w:tc>
        <w:tc>
          <w:tcPr>
            <w:tcW w:w="524" w:type="pct"/>
            <w:vAlign w:val="center"/>
          </w:tcPr>
          <w:p w14:paraId="123B8A5B" w14:textId="77777777" w:rsidR="001A6BA8" w:rsidRPr="00A60529" w:rsidRDefault="001A6BA8" w:rsidP="00EF487D">
            <w:pPr>
              <w:spacing w:before="20"/>
              <w:jc w:val="center"/>
              <w:rPr>
                <w:sz w:val="22"/>
                <w:szCs w:val="22"/>
                <w:lang w:eastAsia="en-AU"/>
              </w:rPr>
            </w:pPr>
            <w:r w:rsidRPr="00A60529">
              <w:rPr>
                <w:sz w:val="22"/>
                <w:szCs w:val="22"/>
                <w:lang w:eastAsia="en-AU"/>
              </w:rPr>
              <w:t>0.1 - 2</w:t>
            </w:r>
          </w:p>
        </w:tc>
        <w:tc>
          <w:tcPr>
            <w:tcW w:w="524" w:type="pct"/>
            <w:vAlign w:val="center"/>
          </w:tcPr>
          <w:p w14:paraId="11376EA6" w14:textId="77777777" w:rsidR="001A6BA8" w:rsidRPr="00A60529" w:rsidRDefault="001A6BA8" w:rsidP="00EF487D">
            <w:pPr>
              <w:spacing w:before="20"/>
              <w:jc w:val="center"/>
              <w:rPr>
                <w:sz w:val="22"/>
                <w:szCs w:val="22"/>
                <w:lang w:eastAsia="en-AU"/>
              </w:rPr>
            </w:pPr>
            <w:r w:rsidRPr="00A60529">
              <w:rPr>
                <w:sz w:val="22"/>
                <w:szCs w:val="22"/>
                <w:lang w:eastAsia="en-AU"/>
              </w:rPr>
              <w:t>1 x 10</w:t>
            </w:r>
            <w:r w:rsidRPr="00A60529">
              <w:rPr>
                <w:sz w:val="22"/>
                <w:szCs w:val="22"/>
                <w:vertAlign w:val="superscript"/>
                <w:lang w:eastAsia="en-AU"/>
              </w:rPr>
              <w:t>-5</w:t>
            </w:r>
          </w:p>
        </w:tc>
        <w:tc>
          <w:tcPr>
            <w:tcW w:w="898" w:type="pct"/>
            <w:vAlign w:val="center"/>
          </w:tcPr>
          <w:p w14:paraId="169C8284" w14:textId="77777777" w:rsidR="001A6BA8" w:rsidRPr="00A60529" w:rsidRDefault="001A6BA8" w:rsidP="00EF487D">
            <w:pPr>
              <w:spacing w:before="20"/>
              <w:jc w:val="center"/>
              <w:rPr>
                <w:sz w:val="22"/>
                <w:szCs w:val="22"/>
                <w:lang w:eastAsia="en-AU"/>
              </w:rPr>
            </w:pPr>
            <w:r w:rsidRPr="00A60529">
              <w:rPr>
                <w:sz w:val="22"/>
                <w:szCs w:val="22"/>
                <w:lang w:eastAsia="en-AU"/>
              </w:rPr>
              <w:t>0.08 - 1.66</w:t>
            </w:r>
          </w:p>
        </w:tc>
        <w:tc>
          <w:tcPr>
            <w:tcW w:w="524" w:type="pct"/>
            <w:vAlign w:val="center"/>
          </w:tcPr>
          <w:p w14:paraId="0D47BBE0" w14:textId="77777777" w:rsidR="001A6BA8" w:rsidRPr="00A60529" w:rsidRDefault="001A6BA8" w:rsidP="00EF487D">
            <w:pPr>
              <w:spacing w:before="20"/>
              <w:jc w:val="center"/>
              <w:rPr>
                <w:sz w:val="22"/>
                <w:szCs w:val="22"/>
                <w:lang w:eastAsia="en-AU"/>
              </w:rPr>
            </w:pPr>
            <w:r w:rsidRPr="00A60529">
              <w:rPr>
                <w:sz w:val="22"/>
                <w:szCs w:val="22"/>
                <w:lang w:eastAsia="en-AU"/>
              </w:rPr>
              <w:t>No data</w:t>
            </w:r>
          </w:p>
        </w:tc>
        <w:tc>
          <w:tcPr>
            <w:tcW w:w="674" w:type="pct"/>
            <w:vAlign w:val="center"/>
          </w:tcPr>
          <w:p w14:paraId="13FF4384" w14:textId="77777777" w:rsidR="001A6BA8" w:rsidRPr="00A60529" w:rsidRDefault="001A6BA8" w:rsidP="00EF487D">
            <w:pPr>
              <w:spacing w:before="20"/>
              <w:jc w:val="center"/>
              <w:rPr>
                <w:sz w:val="22"/>
                <w:szCs w:val="22"/>
                <w:lang w:eastAsia="en-AU"/>
              </w:rPr>
            </w:pPr>
            <w:r w:rsidRPr="00A60529">
              <w:rPr>
                <w:sz w:val="22"/>
                <w:szCs w:val="22"/>
                <w:lang w:eastAsia="en-AU"/>
              </w:rPr>
              <w:t>Wohling et al (2013)</w:t>
            </w:r>
          </w:p>
        </w:tc>
      </w:tr>
      <w:tr w:rsidR="001A6BA8" w:rsidRPr="00A60529" w14:paraId="6D4437E4" w14:textId="77777777" w:rsidTr="00EF487D">
        <w:trPr>
          <w:trHeight w:val="418"/>
        </w:trPr>
        <w:tc>
          <w:tcPr>
            <w:tcW w:w="658" w:type="pct"/>
            <w:vAlign w:val="center"/>
          </w:tcPr>
          <w:p w14:paraId="6B9EA82F" w14:textId="77777777" w:rsidR="001A6BA8" w:rsidRPr="00A60529" w:rsidRDefault="001A6BA8" w:rsidP="00EF487D">
            <w:pPr>
              <w:spacing w:before="80" w:after="80"/>
              <w:jc w:val="center"/>
              <w:rPr>
                <w:b/>
                <w:sz w:val="22"/>
                <w:szCs w:val="22"/>
              </w:rPr>
            </w:pPr>
            <w:r w:rsidRPr="00A60529">
              <w:rPr>
                <w:b/>
                <w:sz w:val="22"/>
                <w:szCs w:val="22"/>
              </w:rPr>
              <w:t>Basement</w:t>
            </w:r>
          </w:p>
        </w:tc>
        <w:tc>
          <w:tcPr>
            <w:tcW w:w="449" w:type="pct"/>
            <w:vAlign w:val="center"/>
          </w:tcPr>
          <w:p w14:paraId="40A7093D" w14:textId="77777777" w:rsidR="001A6BA8" w:rsidRPr="00A60529" w:rsidRDefault="001A6BA8" w:rsidP="00EF487D">
            <w:pPr>
              <w:spacing w:before="20"/>
              <w:jc w:val="center"/>
              <w:rPr>
                <w:sz w:val="22"/>
                <w:szCs w:val="22"/>
                <w:lang w:eastAsia="en-AU"/>
              </w:rPr>
            </w:pPr>
            <w:r w:rsidRPr="00A60529">
              <w:rPr>
                <w:sz w:val="22"/>
                <w:szCs w:val="22"/>
                <w:lang w:eastAsia="en-AU"/>
              </w:rPr>
              <w:t>6</w:t>
            </w:r>
          </w:p>
        </w:tc>
        <w:tc>
          <w:tcPr>
            <w:tcW w:w="749" w:type="pct"/>
            <w:vAlign w:val="center"/>
          </w:tcPr>
          <w:p w14:paraId="631A2DDE" w14:textId="77777777" w:rsidR="001A6BA8" w:rsidRPr="00A60529" w:rsidRDefault="001A6BA8" w:rsidP="00EF487D">
            <w:pPr>
              <w:spacing w:before="20"/>
              <w:jc w:val="center"/>
              <w:rPr>
                <w:sz w:val="22"/>
                <w:szCs w:val="22"/>
                <w:lang w:eastAsia="en-AU"/>
              </w:rPr>
            </w:pPr>
            <w:r w:rsidRPr="00A60529">
              <w:rPr>
                <w:sz w:val="22"/>
                <w:szCs w:val="22"/>
                <w:lang w:eastAsia="en-AU"/>
              </w:rPr>
              <w:t>0.01</w:t>
            </w:r>
          </w:p>
        </w:tc>
        <w:tc>
          <w:tcPr>
            <w:tcW w:w="524" w:type="pct"/>
            <w:vAlign w:val="center"/>
          </w:tcPr>
          <w:p w14:paraId="7E5E8D23" w14:textId="77777777" w:rsidR="001A6BA8" w:rsidRPr="00A60529" w:rsidRDefault="001A6BA8" w:rsidP="00EF487D">
            <w:pPr>
              <w:spacing w:before="20"/>
              <w:jc w:val="center"/>
              <w:rPr>
                <w:sz w:val="22"/>
                <w:szCs w:val="22"/>
                <w:lang w:eastAsia="en-AU"/>
              </w:rPr>
            </w:pPr>
            <w:r w:rsidRPr="00A60529">
              <w:rPr>
                <w:sz w:val="22"/>
                <w:szCs w:val="22"/>
                <w:lang w:eastAsia="en-AU"/>
              </w:rPr>
              <w:t>0.001</w:t>
            </w:r>
          </w:p>
        </w:tc>
        <w:tc>
          <w:tcPr>
            <w:tcW w:w="524" w:type="pct"/>
            <w:vAlign w:val="center"/>
          </w:tcPr>
          <w:p w14:paraId="0C5982B6" w14:textId="77777777" w:rsidR="001A6BA8" w:rsidRPr="00A60529" w:rsidRDefault="001A6BA8" w:rsidP="00EF487D">
            <w:pPr>
              <w:spacing w:before="20"/>
              <w:jc w:val="center"/>
              <w:rPr>
                <w:sz w:val="22"/>
                <w:szCs w:val="22"/>
                <w:lang w:eastAsia="en-AU"/>
              </w:rPr>
            </w:pPr>
            <w:r w:rsidRPr="00A60529">
              <w:rPr>
                <w:sz w:val="22"/>
                <w:szCs w:val="22"/>
                <w:lang w:eastAsia="en-AU"/>
              </w:rPr>
              <w:t>1 x 10</w:t>
            </w:r>
            <w:r w:rsidRPr="00A60529">
              <w:rPr>
                <w:sz w:val="22"/>
                <w:szCs w:val="22"/>
                <w:vertAlign w:val="superscript"/>
                <w:lang w:eastAsia="en-AU"/>
              </w:rPr>
              <w:t>-5</w:t>
            </w:r>
          </w:p>
        </w:tc>
        <w:tc>
          <w:tcPr>
            <w:tcW w:w="898" w:type="pct"/>
            <w:vAlign w:val="center"/>
          </w:tcPr>
          <w:p w14:paraId="60F8317E" w14:textId="77777777" w:rsidR="001A6BA8" w:rsidRPr="00A60529" w:rsidRDefault="001A6BA8" w:rsidP="00EF487D">
            <w:pPr>
              <w:spacing w:before="20"/>
              <w:jc w:val="center"/>
              <w:rPr>
                <w:sz w:val="22"/>
                <w:szCs w:val="22"/>
                <w:lang w:eastAsia="en-AU"/>
              </w:rPr>
            </w:pPr>
            <w:r w:rsidRPr="00A60529">
              <w:rPr>
                <w:sz w:val="22"/>
                <w:szCs w:val="22"/>
                <w:lang w:eastAsia="en-AU"/>
              </w:rPr>
              <w:t>No data</w:t>
            </w:r>
          </w:p>
        </w:tc>
        <w:tc>
          <w:tcPr>
            <w:tcW w:w="524" w:type="pct"/>
            <w:vAlign w:val="center"/>
          </w:tcPr>
          <w:p w14:paraId="2C8FA383" w14:textId="77777777" w:rsidR="001A6BA8" w:rsidRPr="00A60529" w:rsidRDefault="001A6BA8" w:rsidP="00EF487D">
            <w:pPr>
              <w:spacing w:before="20"/>
              <w:jc w:val="center"/>
              <w:rPr>
                <w:sz w:val="22"/>
                <w:szCs w:val="22"/>
                <w:lang w:eastAsia="en-AU"/>
              </w:rPr>
            </w:pPr>
            <w:r w:rsidRPr="00A60529">
              <w:rPr>
                <w:sz w:val="22"/>
                <w:szCs w:val="22"/>
                <w:lang w:eastAsia="en-AU"/>
              </w:rPr>
              <w:t>No data</w:t>
            </w:r>
          </w:p>
        </w:tc>
        <w:tc>
          <w:tcPr>
            <w:tcW w:w="674" w:type="pct"/>
          </w:tcPr>
          <w:p w14:paraId="1D80B248" w14:textId="77777777" w:rsidR="001A6BA8" w:rsidRPr="00A60529" w:rsidRDefault="001A6BA8" w:rsidP="00EF487D">
            <w:pPr>
              <w:spacing w:before="20"/>
              <w:jc w:val="center"/>
              <w:rPr>
                <w:sz w:val="22"/>
                <w:szCs w:val="22"/>
                <w:lang w:eastAsia="en-AU"/>
              </w:rPr>
            </w:pPr>
          </w:p>
        </w:tc>
      </w:tr>
    </w:tbl>
    <w:p w14:paraId="6D210775" w14:textId="77777777" w:rsidR="001A6BA8" w:rsidRPr="00D109F1" w:rsidRDefault="001A6BA8" w:rsidP="001A6BA8">
      <w:pPr>
        <w:rPr>
          <w:rFonts w:ascii="Calibri" w:hAnsi="Calibri" w:cs="Calibri"/>
        </w:rPr>
      </w:pPr>
    </w:p>
    <w:p w14:paraId="2728076B" w14:textId="77777777" w:rsidR="001A6BA8" w:rsidRPr="00EF487D" w:rsidRDefault="001A6BA8" w:rsidP="00EF487D">
      <w:pPr>
        <w:spacing w:after="120"/>
        <w:rPr>
          <w:rFonts w:ascii="Calibri" w:eastAsia="Times New Roman" w:hAnsi="Calibri" w:cs="Calibri"/>
          <w:sz w:val="22"/>
          <w:szCs w:val="20"/>
        </w:rPr>
      </w:pPr>
      <w:r w:rsidRPr="00EF487D">
        <w:rPr>
          <w:rFonts w:ascii="Calibri" w:eastAsia="Times New Roman" w:hAnsi="Calibri" w:cs="Calibri"/>
          <w:sz w:val="22"/>
          <w:szCs w:val="20"/>
        </w:rPr>
        <w:t xml:space="preserve">The regional hydraulic conductivity of the J aquifer of 7 m/d is based on a representative value from literature review (Keppel et al., 2013). There are no estimates of the hydraulic properties of the Triassic, and yet it is considered critical to understanding the connectivity between the J aquifer and Permian aquifer. </w:t>
      </w:r>
    </w:p>
    <w:p w14:paraId="45B16DB6" w14:textId="77777777" w:rsidR="001A6BA8" w:rsidRPr="00EF487D" w:rsidRDefault="001A6BA8" w:rsidP="00EF487D">
      <w:pPr>
        <w:spacing w:after="120"/>
        <w:rPr>
          <w:rFonts w:ascii="Calibri" w:eastAsia="Times New Roman" w:hAnsi="Calibri" w:cs="Calibri"/>
          <w:sz w:val="22"/>
          <w:szCs w:val="20"/>
        </w:rPr>
      </w:pPr>
      <w:r w:rsidRPr="00EF487D">
        <w:rPr>
          <w:rFonts w:ascii="Calibri" w:eastAsia="Times New Roman" w:hAnsi="Calibri" w:cs="Calibri"/>
          <w:sz w:val="22"/>
          <w:szCs w:val="20"/>
        </w:rPr>
        <w:t xml:space="preserve">Regional modelled hydraulic conductivity of the </w:t>
      </w:r>
      <w:proofErr w:type="spellStart"/>
      <w:r w:rsidRPr="00EF487D">
        <w:rPr>
          <w:rFonts w:ascii="Calibri" w:eastAsia="Times New Roman" w:hAnsi="Calibri" w:cs="Calibri"/>
          <w:sz w:val="22"/>
          <w:szCs w:val="20"/>
        </w:rPr>
        <w:t>Purni</w:t>
      </w:r>
      <w:proofErr w:type="spellEnd"/>
      <w:r w:rsidRPr="00EF487D">
        <w:rPr>
          <w:rFonts w:ascii="Calibri" w:eastAsia="Times New Roman" w:hAnsi="Calibri" w:cs="Calibri"/>
          <w:sz w:val="22"/>
          <w:szCs w:val="20"/>
        </w:rPr>
        <w:t xml:space="preserve"> Formation and Crown Point Formation are estimated from a mid-range derived hydraulic conductivities from permeability measurements. Where outcropping Crown Point Formation intersects the Finke River, the hydraulic conductivity is assumed to be higher locally and assigned the same value as J aquifer. There are no available estimates of the hydraulic properties of basement. </w:t>
      </w:r>
    </w:p>
    <w:p w14:paraId="42CAB0CA" w14:textId="77777777" w:rsidR="001A6BA8" w:rsidRPr="00EF487D" w:rsidRDefault="001A6BA8" w:rsidP="00EF487D">
      <w:pPr>
        <w:spacing w:after="120"/>
        <w:rPr>
          <w:rFonts w:ascii="Calibri" w:eastAsia="Times New Roman" w:hAnsi="Calibri" w:cs="Calibri"/>
          <w:sz w:val="22"/>
          <w:szCs w:val="20"/>
        </w:rPr>
      </w:pPr>
      <w:proofErr w:type="spellStart"/>
      <w:r w:rsidRPr="00EF487D">
        <w:rPr>
          <w:rFonts w:ascii="Calibri" w:eastAsia="Times New Roman" w:hAnsi="Calibri" w:cs="Calibri"/>
          <w:sz w:val="22"/>
          <w:szCs w:val="20"/>
        </w:rPr>
        <w:t>Storativity</w:t>
      </w:r>
      <w:proofErr w:type="spellEnd"/>
      <w:r w:rsidRPr="00EF487D">
        <w:rPr>
          <w:rFonts w:ascii="Calibri" w:eastAsia="Times New Roman" w:hAnsi="Calibri" w:cs="Calibri"/>
          <w:sz w:val="22"/>
          <w:szCs w:val="20"/>
        </w:rPr>
        <w:t xml:space="preserve"> estimates are available for the J aquifer however there are no estimates available for the remaining units. A uniform value of specific storage of 10-5 /m, an average value from J aquifer and text book value for general confined aquifer, has been adopted for all layers. </w:t>
      </w:r>
    </w:p>
    <w:p w14:paraId="74ED0EC5" w14:textId="77777777" w:rsidR="001A6BA8" w:rsidRDefault="001A6BA8" w:rsidP="00EF487D">
      <w:pPr>
        <w:spacing w:after="120"/>
        <w:rPr>
          <w:rFonts w:ascii="Calibri" w:eastAsia="Times New Roman" w:hAnsi="Calibri" w:cs="Calibri"/>
          <w:sz w:val="22"/>
          <w:szCs w:val="20"/>
        </w:rPr>
      </w:pPr>
      <w:r w:rsidRPr="00EF487D">
        <w:rPr>
          <w:rFonts w:ascii="Calibri" w:eastAsia="Times New Roman" w:hAnsi="Calibri" w:cs="Calibri"/>
          <w:sz w:val="22"/>
          <w:szCs w:val="20"/>
        </w:rPr>
        <w:t xml:space="preserve">Model simplifications, limitations, calibration and not presented here but are available in detail in (Peat et al. 2014 – in prep.). </w:t>
      </w:r>
    </w:p>
    <w:p w14:paraId="46533699" w14:textId="77777777" w:rsidR="00EF487D" w:rsidRPr="00EF487D" w:rsidRDefault="00EF487D" w:rsidP="00EF487D">
      <w:pPr>
        <w:spacing w:after="120"/>
        <w:rPr>
          <w:rFonts w:ascii="Calibri" w:eastAsia="Times New Roman" w:hAnsi="Calibri" w:cs="Calibri"/>
          <w:sz w:val="22"/>
          <w:szCs w:val="20"/>
        </w:rPr>
      </w:pPr>
    </w:p>
    <w:p w14:paraId="455C9028" w14:textId="77777777" w:rsidR="001A6BA8" w:rsidRPr="009F2884" w:rsidRDefault="001A6BA8" w:rsidP="001A6BA8">
      <w:pPr>
        <w:spacing w:after="120"/>
        <w:rPr>
          <w:b/>
        </w:rPr>
      </w:pPr>
      <w:r w:rsidRPr="009F2884">
        <w:rPr>
          <w:b/>
        </w:rPr>
        <w:t>Dewatering Scenario</w:t>
      </w:r>
    </w:p>
    <w:p w14:paraId="0B131A4A" w14:textId="77777777" w:rsidR="001A6BA8" w:rsidRPr="00EF487D" w:rsidRDefault="001A6BA8" w:rsidP="001A6BA8">
      <w:pPr>
        <w:spacing w:after="120"/>
        <w:rPr>
          <w:rFonts w:ascii="Calibri" w:eastAsia="Times New Roman" w:hAnsi="Calibri" w:cs="Calibri"/>
          <w:sz w:val="22"/>
          <w:szCs w:val="20"/>
        </w:rPr>
      </w:pPr>
      <w:r w:rsidRPr="00EF487D">
        <w:rPr>
          <w:rFonts w:ascii="Calibri" w:eastAsia="Times New Roman" w:hAnsi="Calibri" w:cs="Calibri"/>
          <w:sz w:val="22"/>
          <w:szCs w:val="20"/>
        </w:rPr>
        <w:t>A hypothetical mine dewatering scenario was included in the sensitivity testing. The estimated impact of drawdown is regionally widespread and is related to the horizontal and vertical connectivity between the modelled aquifers. The test indicates that drawdown may occur in the GAB aquifer near Dalhousie Springs, but the aquifer remains artesian over the period of testing (50 years).</w:t>
      </w:r>
    </w:p>
    <w:p w14:paraId="76E42E7E" w14:textId="77777777" w:rsidR="001A6BA8" w:rsidRPr="00EF487D" w:rsidRDefault="001A6BA8" w:rsidP="001A6BA8">
      <w:pPr>
        <w:spacing w:after="120"/>
        <w:rPr>
          <w:rFonts w:ascii="Calibri" w:eastAsia="Times New Roman" w:hAnsi="Calibri" w:cs="Calibri"/>
          <w:sz w:val="22"/>
          <w:szCs w:val="20"/>
        </w:rPr>
      </w:pPr>
      <w:r w:rsidRPr="00EF487D">
        <w:rPr>
          <w:rFonts w:ascii="Calibri" w:eastAsia="Times New Roman" w:hAnsi="Calibri" w:cs="Calibri"/>
          <w:sz w:val="22"/>
          <w:szCs w:val="20"/>
        </w:rPr>
        <w:t xml:space="preserve">The objective of this stress test is to sense the potential impact of dewatering at a hypothetical mine location on the regional groundwater systems. The test is purely hypothetical and the result is considered to be of low </w:t>
      </w:r>
      <w:r w:rsidRPr="00EF487D">
        <w:rPr>
          <w:rFonts w:ascii="Calibri" w:eastAsia="Times New Roman" w:hAnsi="Calibri" w:cs="Calibri"/>
          <w:sz w:val="22"/>
          <w:szCs w:val="20"/>
        </w:rPr>
        <w:lastRenderedPageBreak/>
        <w:t>confidence, given that the model is not calibrated for that purpose and there is limited data to constrain the regional model.</w:t>
      </w:r>
    </w:p>
    <w:p w14:paraId="2AD89F05" w14:textId="77777777" w:rsidR="001A6BA8" w:rsidRPr="00EF487D" w:rsidRDefault="001A6BA8" w:rsidP="001A6BA8">
      <w:pPr>
        <w:spacing w:after="120"/>
        <w:rPr>
          <w:rFonts w:ascii="Calibri" w:eastAsia="Times New Roman" w:hAnsi="Calibri" w:cs="Calibri"/>
          <w:sz w:val="22"/>
          <w:szCs w:val="20"/>
        </w:rPr>
      </w:pPr>
      <w:r w:rsidRPr="00EF487D">
        <w:rPr>
          <w:rFonts w:ascii="Calibri" w:eastAsia="Times New Roman" w:hAnsi="Calibri" w:cs="Calibri"/>
          <w:sz w:val="22"/>
          <w:szCs w:val="20"/>
        </w:rPr>
        <w:t xml:space="preserve">The hypothetical location is situated in the vicinity of where Stage 2drilling investigations have encountered coal beds at approximately 40 m below the top of the </w:t>
      </w:r>
      <w:proofErr w:type="spellStart"/>
      <w:r w:rsidRPr="00EF487D">
        <w:rPr>
          <w:rFonts w:ascii="Calibri" w:eastAsia="Times New Roman" w:hAnsi="Calibri" w:cs="Calibri"/>
          <w:sz w:val="22"/>
          <w:szCs w:val="20"/>
        </w:rPr>
        <w:t>Purni</w:t>
      </w:r>
      <w:proofErr w:type="spellEnd"/>
      <w:r w:rsidRPr="00EF487D">
        <w:rPr>
          <w:rFonts w:ascii="Calibri" w:eastAsia="Times New Roman" w:hAnsi="Calibri" w:cs="Calibri"/>
          <w:sz w:val="22"/>
          <w:szCs w:val="20"/>
        </w:rPr>
        <w:t xml:space="preserve"> Formation. MODFLOW Drain Package is used to simulate the effects of mine dewatering. As the model simulates dewatering using drain cells, the model test does not consider the construction time taken to dewater the aquifer to the top of the coal.</w:t>
      </w:r>
    </w:p>
    <w:p w14:paraId="53595769" w14:textId="77777777" w:rsidR="001A6BA8" w:rsidRPr="00EF487D" w:rsidRDefault="001A6BA8" w:rsidP="001A6BA8">
      <w:pPr>
        <w:spacing w:after="120"/>
        <w:rPr>
          <w:rFonts w:ascii="Calibri" w:eastAsia="Times New Roman" w:hAnsi="Calibri" w:cs="Calibri"/>
          <w:sz w:val="22"/>
          <w:szCs w:val="20"/>
        </w:rPr>
      </w:pPr>
      <w:r w:rsidRPr="00EF487D">
        <w:rPr>
          <w:rFonts w:ascii="Calibri" w:eastAsia="Times New Roman" w:hAnsi="Calibri" w:cs="Calibri"/>
          <w:sz w:val="22"/>
          <w:szCs w:val="20"/>
        </w:rPr>
        <w:t xml:space="preserve">The drain cells are simulated over an area of 1 km2. The transient model water levels at the end of the model simulation period were used as initial conditions, and is assumed as a system in equilibrium and the estimations are not mixed with system changes due to other factors. The bed of the drain cells is situated at an elevation of -313 m AHD (depth of approximately 475 m </w:t>
      </w:r>
      <w:proofErr w:type="spellStart"/>
      <w:r w:rsidRPr="00EF487D">
        <w:rPr>
          <w:rFonts w:ascii="Calibri" w:eastAsia="Times New Roman" w:hAnsi="Calibri" w:cs="Calibri"/>
          <w:sz w:val="22"/>
          <w:szCs w:val="20"/>
        </w:rPr>
        <w:t>bgl</w:t>
      </w:r>
      <w:proofErr w:type="spellEnd"/>
      <w:r w:rsidRPr="00EF487D">
        <w:rPr>
          <w:rFonts w:ascii="Calibri" w:eastAsia="Times New Roman" w:hAnsi="Calibri" w:cs="Calibri"/>
          <w:sz w:val="22"/>
          <w:szCs w:val="20"/>
        </w:rPr>
        <w:t xml:space="preserve">), which is approximately 40 m below the top of model layer 4. The conductance applied to the drain cells is 125 000 m2/d which minimises resistance so that target drawdown can be achieved. </w:t>
      </w:r>
    </w:p>
    <w:p w14:paraId="257B33C2" w14:textId="77777777" w:rsidR="001A6BA8" w:rsidRPr="00EF487D" w:rsidRDefault="001A6BA8" w:rsidP="001A6BA8">
      <w:pPr>
        <w:spacing w:after="120"/>
        <w:rPr>
          <w:rFonts w:ascii="Calibri" w:eastAsia="Times New Roman" w:hAnsi="Calibri" w:cs="Calibri"/>
          <w:sz w:val="22"/>
          <w:szCs w:val="20"/>
        </w:rPr>
      </w:pPr>
      <w:r w:rsidRPr="00EF487D">
        <w:rPr>
          <w:rFonts w:ascii="Calibri" w:eastAsia="Times New Roman" w:hAnsi="Calibri" w:cs="Calibri"/>
          <w:sz w:val="22"/>
          <w:szCs w:val="20"/>
        </w:rPr>
        <w:t>The dewatering activity is simulated over a period of 50 years, with yearly stress periods. The model was run for 50 years and does not evaluate the recovery in the system after mining has ceased.</w:t>
      </w:r>
    </w:p>
    <w:p w14:paraId="027D6070" w14:textId="77777777" w:rsidR="001A6BA8" w:rsidRPr="00EF487D" w:rsidRDefault="001A6BA8" w:rsidP="001A6BA8">
      <w:pPr>
        <w:pStyle w:val="Reporttext"/>
        <w:spacing w:before="0" w:after="120"/>
        <w:rPr>
          <w:rFonts w:cs="Calibri"/>
          <w:color w:val="auto"/>
        </w:rPr>
      </w:pPr>
      <w:r w:rsidRPr="00EF487D">
        <w:rPr>
          <w:rFonts w:cs="Calibri"/>
          <w:color w:val="auto"/>
        </w:rPr>
        <w:t>The test result indicates that approximately 7191 GL discharged from the drain cells over a period of 50 years (an average of 394 ML/day) to achieve maintaining the target level.</w:t>
      </w:r>
    </w:p>
    <w:p w14:paraId="1EE95CB1" w14:textId="77777777" w:rsidR="001A6BA8" w:rsidRPr="00EF487D" w:rsidRDefault="001A6BA8" w:rsidP="001A6BA8">
      <w:pPr>
        <w:pStyle w:val="Reporttext"/>
        <w:spacing w:before="0" w:after="120"/>
        <w:rPr>
          <w:rFonts w:cs="Calibri"/>
          <w:color w:val="auto"/>
        </w:rPr>
      </w:pPr>
      <w:r w:rsidRPr="00EF487D">
        <w:rPr>
          <w:rFonts w:cs="Calibri"/>
          <w:color w:val="auto"/>
        </w:rPr>
        <w:t xml:space="preserve">The estimated drawdown at 50 years is widespread across the basin and occurs at considerable distance from the mine site. Drawdown contours in the Permian aquifer at distance from the mine site are influenced by the presence of the Triassic sediments. </w:t>
      </w:r>
    </w:p>
    <w:p w14:paraId="7995A806" w14:textId="77777777" w:rsidR="001A6BA8" w:rsidRPr="00EF487D" w:rsidRDefault="001A6BA8" w:rsidP="001A6BA8">
      <w:pPr>
        <w:pStyle w:val="Reporttext"/>
        <w:spacing w:before="0" w:after="120"/>
        <w:rPr>
          <w:rFonts w:cs="Calibri"/>
          <w:color w:val="auto"/>
        </w:rPr>
      </w:pPr>
      <w:r w:rsidRPr="00EF487D">
        <w:rPr>
          <w:rFonts w:cs="Calibri"/>
          <w:color w:val="auto"/>
        </w:rPr>
        <w:t xml:space="preserve">The maximum distance to the Eromanga Basin 1m drawdown contour is approximately 210 km. This distance was then added as a buffer to the Pedirka Basin extent of coal and clipped to the Eromanga Basin extent as a variable for defining the Pedirka PAE. </w:t>
      </w:r>
    </w:p>
    <w:p w14:paraId="7D5BE816" w14:textId="77777777" w:rsidR="001A6BA8" w:rsidRPr="00D109F1" w:rsidRDefault="001A6BA8" w:rsidP="001A6BA8">
      <w:pPr>
        <w:spacing w:after="120"/>
      </w:pPr>
    </w:p>
    <w:p w14:paraId="073A6C3F" w14:textId="77777777" w:rsidR="001A6BA8" w:rsidRPr="00D109F1" w:rsidRDefault="001A6BA8" w:rsidP="001A6BA8">
      <w:pPr>
        <w:rPr>
          <w:rFonts w:ascii="Calibri" w:hAnsi="Calibri" w:cs="Calibri"/>
          <w:b/>
        </w:rPr>
      </w:pPr>
      <w:r w:rsidRPr="00D109F1">
        <w:rPr>
          <w:rFonts w:ascii="Calibri" w:hAnsi="Calibri" w:cs="Calibri"/>
          <w:b/>
        </w:rPr>
        <w:t>References</w:t>
      </w:r>
    </w:p>
    <w:p w14:paraId="675769CD" w14:textId="77777777" w:rsidR="001A6BA8" w:rsidRPr="00D109F1" w:rsidRDefault="001A6BA8" w:rsidP="001A6BA8">
      <w:pPr>
        <w:pStyle w:val="Reference"/>
        <w:spacing w:before="0" w:after="120" w:line="240" w:lineRule="auto"/>
        <w:jc w:val="both"/>
        <w:rPr>
          <w:color w:val="auto"/>
          <w:sz w:val="22"/>
          <w:szCs w:val="22"/>
        </w:rPr>
      </w:pPr>
      <w:r w:rsidRPr="00D109F1">
        <w:rPr>
          <w:color w:val="auto"/>
          <w:sz w:val="22"/>
          <w:szCs w:val="22"/>
        </w:rPr>
        <w:t xml:space="preserve">Barnett B, </w:t>
      </w:r>
      <w:proofErr w:type="spellStart"/>
      <w:r w:rsidRPr="00D109F1">
        <w:rPr>
          <w:color w:val="auto"/>
          <w:sz w:val="22"/>
          <w:szCs w:val="22"/>
        </w:rPr>
        <w:t>Townley</w:t>
      </w:r>
      <w:proofErr w:type="spellEnd"/>
      <w:r w:rsidRPr="00D109F1">
        <w:rPr>
          <w:color w:val="auto"/>
          <w:sz w:val="22"/>
          <w:szCs w:val="22"/>
        </w:rPr>
        <w:t xml:space="preserve"> LR, Post V, Evans RE, Hunt RJ, </w:t>
      </w:r>
      <w:proofErr w:type="spellStart"/>
      <w:r w:rsidRPr="00D109F1">
        <w:rPr>
          <w:color w:val="auto"/>
          <w:sz w:val="22"/>
          <w:szCs w:val="22"/>
        </w:rPr>
        <w:t>Peeters</w:t>
      </w:r>
      <w:proofErr w:type="spellEnd"/>
      <w:r w:rsidRPr="00D109F1">
        <w:rPr>
          <w:color w:val="auto"/>
          <w:sz w:val="22"/>
          <w:szCs w:val="22"/>
        </w:rPr>
        <w:t xml:space="preserve"> L, Richardson S, Werner AD, </w:t>
      </w:r>
      <w:proofErr w:type="spellStart"/>
      <w:r w:rsidRPr="00D109F1">
        <w:rPr>
          <w:color w:val="auto"/>
          <w:sz w:val="22"/>
          <w:szCs w:val="22"/>
        </w:rPr>
        <w:t>Knapton</w:t>
      </w:r>
      <w:proofErr w:type="spellEnd"/>
      <w:r w:rsidRPr="00D109F1">
        <w:rPr>
          <w:color w:val="auto"/>
          <w:sz w:val="22"/>
          <w:szCs w:val="22"/>
        </w:rPr>
        <w:t xml:space="preserve"> A and </w:t>
      </w:r>
      <w:proofErr w:type="spellStart"/>
      <w:r w:rsidRPr="00D109F1">
        <w:rPr>
          <w:color w:val="auto"/>
          <w:sz w:val="22"/>
          <w:szCs w:val="22"/>
        </w:rPr>
        <w:t>Boronkay</w:t>
      </w:r>
      <w:proofErr w:type="spellEnd"/>
      <w:r w:rsidRPr="00D109F1">
        <w:rPr>
          <w:color w:val="auto"/>
          <w:sz w:val="22"/>
          <w:szCs w:val="22"/>
        </w:rPr>
        <w:t xml:space="preserve"> A, 2012 </w:t>
      </w:r>
      <w:r w:rsidRPr="00D109F1">
        <w:rPr>
          <w:i/>
          <w:iCs/>
          <w:color w:val="auto"/>
          <w:sz w:val="22"/>
          <w:szCs w:val="22"/>
        </w:rPr>
        <w:t>Australian Groundwater Modelling Guidelines</w:t>
      </w:r>
      <w:r w:rsidRPr="00D109F1">
        <w:rPr>
          <w:color w:val="auto"/>
          <w:sz w:val="22"/>
          <w:szCs w:val="22"/>
        </w:rPr>
        <w:t>, Waterlines report, National Water Commission, Canberra</w:t>
      </w:r>
    </w:p>
    <w:p w14:paraId="1F82D12A" w14:textId="77777777" w:rsidR="001A6BA8" w:rsidRPr="00D109F1" w:rsidRDefault="001A6BA8" w:rsidP="001A6BA8">
      <w:pPr>
        <w:pStyle w:val="Informationpage"/>
        <w:spacing w:after="120" w:line="240" w:lineRule="auto"/>
        <w:rPr>
          <w:color w:val="auto"/>
          <w:sz w:val="22"/>
          <w:szCs w:val="22"/>
        </w:rPr>
      </w:pPr>
      <w:r w:rsidRPr="00D109F1">
        <w:rPr>
          <w:color w:val="auto"/>
          <w:sz w:val="22"/>
          <w:szCs w:val="22"/>
        </w:rPr>
        <w:t>Peat, V &amp; Yan, W 2014</w:t>
      </w:r>
      <w:r>
        <w:rPr>
          <w:color w:val="auto"/>
          <w:sz w:val="22"/>
          <w:szCs w:val="22"/>
        </w:rPr>
        <w:t xml:space="preserve"> (in prep.)</w:t>
      </w:r>
      <w:r w:rsidRPr="00D109F1">
        <w:rPr>
          <w:color w:val="auto"/>
          <w:sz w:val="22"/>
          <w:szCs w:val="22"/>
        </w:rPr>
        <w:t xml:space="preserve">, </w:t>
      </w:r>
      <w:r w:rsidRPr="00D109F1">
        <w:rPr>
          <w:i/>
          <w:color w:val="auto"/>
          <w:sz w:val="22"/>
          <w:szCs w:val="22"/>
        </w:rPr>
        <w:t>Pedirka Basin Numerical Groundwater Model 2014,</w:t>
      </w:r>
      <w:r w:rsidRPr="00D109F1">
        <w:rPr>
          <w:color w:val="auto"/>
          <w:sz w:val="22"/>
          <w:szCs w:val="22"/>
        </w:rPr>
        <w:t xml:space="preserve"> DEWNR Technical Report 2013/XX, Government of South Australia, through Department of Environment, Water and Natural Resources, Adelaide</w:t>
      </w:r>
    </w:p>
    <w:p w14:paraId="789EFD1D" w14:textId="77777777" w:rsidR="001A6BA8" w:rsidRPr="00D109F1" w:rsidRDefault="001A6BA8" w:rsidP="001A6BA8">
      <w:pPr>
        <w:autoSpaceDE w:val="0"/>
        <w:autoSpaceDN w:val="0"/>
        <w:adjustRightInd w:val="0"/>
        <w:spacing w:after="120"/>
        <w:rPr>
          <w:rFonts w:ascii="Calibri" w:hAnsi="Calibri" w:cs="Calibri"/>
        </w:rPr>
      </w:pPr>
      <w:r w:rsidRPr="00D109F1">
        <w:rPr>
          <w:rFonts w:ascii="Calibri" w:hAnsi="Calibri" w:cs="Calibri"/>
        </w:rPr>
        <w:t xml:space="preserve">Wohling, D., Keppel, M., Fulton, S., </w:t>
      </w:r>
      <w:proofErr w:type="spellStart"/>
      <w:r w:rsidRPr="00D109F1">
        <w:rPr>
          <w:rFonts w:ascii="Calibri" w:hAnsi="Calibri" w:cs="Calibri"/>
        </w:rPr>
        <w:t>Costar</w:t>
      </w:r>
      <w:proofErr w:type="spellEnd"/>
      <w:r w:rsidRPr="00D109F1">
        <w:rPr>
          <w:rFonts w:ascii="Calibri" w:hAnsi="Calibri" w:cs="Calibri"/>
        </w:rPr>
        <w:t xml:space="preserve">, A., Sampson, L. and Berens, V. 2013, </w:t>
      </w:r>
      <w:r w:rsidRPr="00D109F1">
        <w:rPr>
          <w:rFonts w:cstheme="minorHAnsi"/>
          <w:i/>
          <w:iCs/>
        </w:rPr>
        <w:t>Australian Government Initiative on Coal Seam Gas and Large Coal Mining – Arckaringa Basin and Pedirka Basin Groundwater Assessment Projects</w:t>
      </w:r>
      <w:r w:rsidRPr="00D109F1">
        <w:rPr>
          <w:rFonts w:ascii="Calibri,Italic" w:hAnsi="Calibri,Italic" w:cs="Calibri,Italic"/>
          <w:i/>
          <w:iCs/>
        </w:rPr>
        <w:t xml:space="preserve">, </w:t>
      </w:r>
      <w:r w:rsidRPr="00D109F1">
        <w:rPr>
          <w:rFonts w:ascii="Calibri" w:hAnsi="Calibri" w:cs="Calibri"/>
        </w:rPr>
        <w:t>DEWNR Technical Report 2013/11, Government of South Australia, through Department of Environment, Water and Natural Resources, Adelaide</w:t>
      </w:r>
    </w:p>
    <w:p w14:paraId="06613EF8" w14:textId="77777777" w:rsidR="001A6BA8" w:rsidRPr="00D109F1" w:rsidRDefault="001A6BA8" w:rsidP="001A6BA8">
      <w:pPr>
        <w:pStyle w:val="Informationpage"/>
        <w:spacing w:after="120" w:line="240" w:lineRule="auto"/>
        <w:rPr>
          <w:color w:val="auto"/>
        </w:rPr>
      </w:pPr>
    </w:p>
    <w:p w14:paraId="5BB96644" w14:textId="77777777" w:rsidR="001A6BA8" w:rsidRPr="00D109F1" w:rsidRDefault="001A6BA8" w:rsidP="001A6BA8">
      <w:pPr>
        <w:spacing w:after="120"/>
        <w:rPr>
          <w:rFonts w:ascii="Calibri" w:hAnsi="Calibri" w:cs="Calibri"/>
        </w:rPr>
      </w:pPr>
    </w:p>
    <w:p w14:paraId="66B5B562" w14:textId="77777777" w:rsidR="00EE17C6" w:rsidRPr="00D934CC" w:rsidRDefault="00EE17C6" w:rsidP="00EE17C6">
      <w:pPr>
        <w:rPr>
          <w:sz w:val="20"/>
          <w:szCs w:val="20"/>
        </w:rPr>
      </w:pPr>
    </w:p>
    <w:sectPr w:rsidR="00EE17C6" w:rsidRPr="00D934CC" w:rsidSect="00851C30">
      <w:headerReference w:type="default" r:id="rId24"/>
      <w:footerReference w:type="default" r:id="rId25"/>
      <w:pgSz w:w="11907" w:h="16840" w:code="9"/>
      <w:pgMar w:top="1134" w:right="851" w:bottom="567" w:left="1134" w:header="357" w:footer="28"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D25F1A9" w14:textId="77777777" w:rsidR="00EF487D" w:rsidRDefault="00EF487D">
      <w:r>
        <w:separator/>
      </w:r>
    </w:p>
  </w:endnote>
  <w:endnote w:type="continuationSeparator" w:id="0">
    <w:p w14:paraId="65203B13" w14:textId="77777777" w:rsidR="00EF487D" w:rsidRDefault="00EF48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Century Gothic">
    <w:panose1 w:val="020B0502020202020204"/>
    <w:charset w:val="00"/>
    <w:family w:val="swiss"/>
    <w:pitch w:val="variable"/>
    <w:sig w:usb0="00000287" w:usb1="00000000" w:usb2="00000000" w:usb3="00000000" w:csb0="0000009F" w:csb1="00000000"/>
  </w:font>
  <w:font w:name="Times-Roman">
    <w:altName w:val="Times New Roman"/>
    <w:panose1 w:val="00000000000000000000"/>
    <w:charset w:val="4D"/>
    <w:family w:val="auto"/>
    <w:notTrueType/>
    <w:pitch w:val="default"/>
    <w:sig w:usb0="00000003" w:usb1="00000000" w:usb2="00000000" w:usb3="00000000" w:csb0="00000001" w:csb1="00000000"/>
  </w:font>
  <w:font w:name="Segoe UI Semibold">
    <w:panose1 w:val="020B0702040204020203"/>
    <w:charset w:val="00"/>
    <w:family w:val="swiss"/>
    <w:pitch w:val="variable"/>
    <w:sig w:usb0="E00002FF" w:usb1="4000A47B" w:usb2="00000001" w:usb3="00000000" w:csb0="0000019F" w:csb1="00000000"/>
  </w:font>
  <w:font w:name="AvantGardeITCbyBT-Demi">
    <w:altName w:val="AvantGarde Dm BT"/>
    <w:panose1 w:val="00000000000000000000"/>
    <w:charset w:val="4D"/>
    <w:family w:val="auto"/>
    <w:notTrueType/>
    <w:pitch w:val="default"/>
    <w:sig w:usb0="00000003" w:usb1="00000000" w:usb2="00000000" w:usb3="00000000" w:csb0="00000001" w:csb1="00000000"/>
  </w:font>
  <w:font w:name="CenturyGothic">
    <w:altName w:val="Century Gothic"/>
    <w:panose1 w:val="00000000000000000000"/>
    <w:charset w:val="4D"/>
    <w:family w:val="auto"/>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Frutiger LT Com 45 Light">
    <w:altName w:val="Frutiger LT Com 45 Light"/>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Italic">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5CD35D" w14:textId="77777777" w:rsidR="00EF487D" w:rsidRDefault="00EF487D">
    <w:pPr>
      <w:pStyle w:val="Footer"/>
      <w:framePr w:wrap="around" w:vAnchor="text" w:hAnchor="margin" w:xAlign="right" w:y="1"/>
      <w:rPr>
        <w:rFonts w:ascii="Arial" w:hAnsi="Arial"/>
      </w:rPr>
    </w:pPr>
    <w:r>
      <w:rPr>
        <w:rFonts w:ascii="Arial" w:hAnsi="Arial"/>
      </w:rPr>
      <w:fldChar w:fldCharType="begin"/>
    </w:r>
    <w:r>
      <w:rPr>
        <w:rFonts w:ascii="Arial" w:hAnsi="Arial"/>
      </w:rPr>
      <w:instrText xml:space="preserve">PAGE  </w:instrText>
    </w:r>
    <w:r>
      <w:rPr>
        <w:rFonts w:ascii="Arial" w:hAnsi="Arial"/>
      </w:rPr>
      <w:fldChar w:fldCharType="separate"/>
    </w:r>
    <w:r>
      <w:rPr>
        <w:rFonts w:ascii="Arial" w:hAnsi="Arial"/>
        <w:noProof/>
      </w:rPr>
      <w:t>xxi</w:t>
    </w:r>
    <w:r>
      <w:rPr>
        <w:rFonts w:ascii="Arial" w:hAnsi="Arial"/>
      </w:rPr>
      <w:fldChar w:fldCharType="end"/>
    </w:r>
  </w:p>
  <w:p w14:paraId="262547DD" w14:textId="77777777" w:rsidR="00EF487D" w:rsidRDefault="00EF487D">
    <w:pPr>
      <w:pStyle w:val="Footer"/>
      <w:tabs>
        <w:tab w:val="right" w:pos="8364"/>
      </w:tabs>
      <w:ind w:right="360"/>
      <w:rPr>
        <w:b/>
      </w:rPr>
    </w:pPr>
    <w:r>
      <w:rPr>
        <w:b/>
      </w:rPr>
      <w:t>©Department for environment and heritage</w:t>
    </w:r>
    <w:r>
      <w:rPr>
        <w:b/>
      </w:rPr>
      <w:tab/>
    </w:r>
  </w:p>
  <w:p w14:paraId="7F42C226" w14:textId="77777777" w:rsidR="00EF487D" w:rsidRDefault="00EF487D">
    <w:pPr>
      <w:ind w:right="360"/>
    </w:pPr>
    <w:r>
      <w:t>DRAFT Version 1.0</w:t>
    </w:r>
    <w:r>
      <w:tab/>
    </w:r>
    <w: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9B007F" w14:textId="77777777" w:rsidR="00EF487D" w:rsidRDefault="00EF487D">
    <w:pPr>
      <w:pStyle w:val="Footer"/>
      <w:jc w:val="center"/>
    </w:pPr>
    <w:r>
      <w:rPr>
        <w:noProof/>
        <w:lang w:val="en-AU" w:eastAsia="en-AU"/>
      </w:rPr>
      <w:drawing>
        <wp:anchor distT="0" distB="0" distL="114300" distR="114300" simplePos="0" relativeHeight="251655680" behindDoc="1" locked="0" layoutInCell="1" allowOverlap="1" wp14:anchorId="0C2B41A0" wp14:editId="72814BCC">
          <wp:simplePos x="0" y="0"/>
          <wp:positionH relativeFrom="column">
            <wp:posOffset>-734695</wp:posOffset>
          </wp:positionH>
          <wp:positionV relativeFrom="paragraph">
            <wp:posOffset>-99060</wp:posOffset>
          </wp:positionV>
          <wp:extent cx="7571740" cy="883920"/>
          <wp:effectExtent l="0" t="0" r="0" b="0"/>
          <wp:wrapNone/>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1740" cy="883920"/>
                  </a:xfrm>
                  <a:prstGeom prst="rect">
                    <a:avLst/>
                  </a:prstGeom>
                  <a:noFill/>
                </pic:spPr>
              </pic:pic>
            </a:graphicData>
          </a:graphic>
          <wp14:sizeRelH relativeFrom="page">
            <wp14:pctWidth>0</wp14:pctWidth>
          </wp14:sizeRelH>
          <wp14:sizeRelV relativeFrom="page">
            <wp14:pctHeight>0</wp14:pctHeight>
          </wp14:sizeRelV>
        </wp:anchor>
      </w:drawing>
    </w:r>
    <w:r>
      <w:fldChar w:fldCharType="begin"/>
    </w:r>
    <w:r>
      <w:instrText xml:space="preserve"> PAGE   \* MERGEFORMAT </w:instrText>
    </w:r>
    <w:r>
      <w:fldChar w:fldCharType="separate"/>
    </w:r>
    <w:r w:rsidR="006550DD">
      <w:rPr>
        <w:noProof/>
      </w:rPr>
      <w:t>iii</w:t>
    </w:r>
    <w:r>
      <w:rPr>
        <w:noProof/>
      </w:rPr>
      <w:fldChar w:fldCharType="end"/>
    </w:r>
  </w:p>
  <w:p w14:paraId="236ED876" w14:textId="77777777" w:rsidR="00EF487D" w:rsidRDefault="00EF487D">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4149AF" w14:textId="77777777" w:rsidR="00EF487D" w:rsidRDefault="00EF487D">
    <w:pPr>
      <w:pStyle w:val="Footer"/>
    </w:pPr>
    <w:r>
      <w:rPr>
        <w:noProof/>
        <w:lang w:val="en-AU" w:eastAsia="en-AU"/>
      </w:rPr>
      <w:drawing>
        <wp:anchor distT="0" distB="0" distL="114300" distR="114300" simplePos="0" relativeHeight="251657728" behindDoc="0" locked="0" layoutInCell="1" allowOverlap="1" wp14:anchorId="77C0761B" wp14:editId="2D7FEC8F">
          <wp:simplePos x="0" y="0"/>
          <wp:positionH relativeFrom="column">
            <wp:posOffset>-527685</wp:posOffset>
          </wp:positionH>
          <wp:positionV relativeFrom="paragraph">
            <wp:posOffset>-415290</wp:posOffset>
          </wp:positionV>
          <wp:extent cx="7571740" cy="883920"/>
          <wp:effectExtent l="0" t="0" r="0" b="0"/>
          <wp:wrapNone/>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1740" cy="883920"/>
                  </a:xfrm>
                  <a:prstGeom prst="rect">
                    <a:avLst/>
                  </a:prstGeom>
                  <a:noFill/>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AAF88C" w14:textId="77777777" w:rsidR="00EF487D" w:rsidRDefault="00EF487D">
    <w:pPr>
      <w:pStyle w:val="Footer"/>
      <w:jc w:val="center"/>
    </w:pPr>
    <w:r>
      <w:rPr>
        <w:noProof/>
        <w:lang w:val="en-AU" w:eastAsia="en-AU"/>
      </w:rPr>
      <w:drawing>
        <wp:anchor distT="0" distB="0" distL="114300" distR="114300" simplePos="0" relativeHeight="251658752" behindDoc="1" locked="0" layoutInCell="1" allowOverlap="1" wp14:anchorId="1FA30271" wp14:editId="4BA17062">
          <wp:simplePos x="0" y="0"/>
          <wp:positionH relativeFrom="column">
            <wp:posOffset>-734695</wp:posOffset>
          </wp:positionH>
          <wp:positionV relativeFrom="paragraph">
            <wp:posOffset>-99060</wp:posOffset>
          </wp:positionV>
          <wp:extent cx="7571740" cy="88392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1740" cy="883920"/>
                  </a:xfrm>
                  <a:prstGeom prst="rect">
                    <a:avLst/>
                  </a:prstGeom>
                  <a:noFill/>
                </pic:spPr>
              </pic:pic>
            </a:graphicData>
          </a:graphic>
          <wp14:sizeRelH relativeFrom="page">
            <wp14:pctWidth>0</wp14:pctWidth>
          </wp14:sizeRelH>
          <wp14:sizeRelV relativeFrom="page">
            <wp14:pctHeight>0</wp14:pctHeight>
          </wp14:sizeRelV>
        </wp:anchor>
      </w:drawing>
    </w:r>
    <w:r>
      <w:fldChar w:fldCharType="begin"/>
    </w:r>
    <w:r>
      <w:instrText xml:space="preserve"> PAGE   \* MERGEFORMAT </w:instrText>
    </w:r>
    <w:r>
      <w:fldChar w:fldCharType="separate"/>
    </w:r>
    <w:r w:rsidR="006550DD">
      <w:rPr>
        <w:noProof/>
      </w:rPr>
      <w:t>4</w:t>
    </w:r>
    <w:r>
      <w:rPr>
        <w:noProof/>
      </w:rPr>
      <w:fldChar w:fldCharType="end"/>
    </w:r>
  </w:p>
  <w:p w14:paraId="660DDA6A" w14:textId="77777777" w:rsidR="00EF487D" w:rsidRDefault="00EF487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50B7187" w14:textId="77777777" w:rsidR="00EF487D" w:rsidRDefault="00EF487D">
      <w:r>
        <w:separator/>
      </w:r>
    </w:p>
  </w:footnote>
  <w:footnote w:type="continuationSeparator" w:id="0">
    <w:p w14:paraId="31132C25" w14:textId="77777777" w:rsidR="00EF487D" w:rsidRDefault="00EF487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912B1C" w14:textId="77777777" w:rsidR="00EF487D" w:rsidRDefault="00EF487D">
    <w:r>
      <w:t>Environmental Information</w:t>
    </w:r>
    <w:r>
      <w:tab/>
      <w:t>Discussion Draft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431A05" w14:textId="04FC3399" w:rsidR="00EF487D" w:rsidRPr="00720B7E" w:rsidRDefault="00EF487D" w:rsidP="00BC3B7C">
    <w:pPr>
      <w:pStyle w:val="Header"/>
      <w:tabs>
        <w:tab w:val="clear" w:pos="9720"/>
        <w:tab w:val="right" w:pos="9922"/>
      </w:tabs>
      <w:spacing w:after="120"/>
      <w:rPr>
        <w:rFonts w:cs="Segoe UI"/>
        <w:sz w:val="18"/>
        <w:szCs w:val="18"/>
      </w:rPr>
    </w:pPr>
    <w:r>
      <w:rPr>
        <w:rFonts w:cs="Segoe UI"/>
        <w:sz w:val="18"/>
        <w:szCs w:val="18"/>
        <w:lang w:val="en-AU"/>
      </w:rPr>
      <w:t>Arckaringa and Pedirka Preliminary Assessment Extent: Methodology and Assumptions</w:t>
    </w:r>
    <w:r w:rsidRPr="00720B7E">
      <w:rPr>
        <w:rFonts w:cs="Segoe UI"/>
        <w:sz w:val="18"/>
        <w:szCs w:val="18"/>
      </w:rPr>
      <w:tab/>
      <w:t xml:space="preserve">Version </w:t>
    </w:r>
    <w:r>
      <w:rPr>
        <w:rFonts w:cs="Segoe UI"/>
        <w:sz w:val="18"/>
        <w:szCs w:val="18"/>
      </w:rPr>
      <w:t>1.0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51040C" w14:textId="77777777" w:rsidR="00EF487D" w:rsidRDefault="006550DD">
    <w:pPr>
      <w:pStyle w:val="Header"/>
      <w:pBdr>
        <w:bottom w:val="none" w:sz="0" w:space="0" w:color="auto"/>
      </w:pBdr>
      <w:ind w:left="-426"/>
    </w:pPr>
    <w:r>
      <w:rPr>
        <w:noProof/>
        <w:lang w:val="en-US" w:eastAsia="zh-TW"/>
      </w:rPr>
      <w:pict w14:anchorId="6545C58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53" type="#_x0000_t136" style="position:absolute;left:0;text-align:left;margin-left:0;margin-top:0;width:412.4pt;height:247.45pt;rotation:315;z-index:-25165670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F487D">
      <w:rPr>
        <w:noProof/>
        <w:lang w:val="en-AU" w:eastAsia="en-AU"/>
      </w:rPr>
      <w:drawing>
        <wp:anchor distT="0" distB="0" distL="114300" distR="114300" simplePos="0" relativeHeight="251656704" behindDoc="0" locked="0" layoutInCell="1" allowOverlap="1" wp14:anchorId="40B87030" wp14:editId="7EB4C397">
          <wp:simplePos x="0" y="0"/>
          <wp:positionH relativeFrom="column">
            <wp:posOffset>-534035</wp:posOffset>
          </wp:positionH>
          <wp:positionV relativeFrom="paragraph">
            <wp:posOffset>-236855</wp:posOffset>
          </wp:positionV>
          <wp:extent cx="7578090" cy="2377440"/>
          <wp:effectExtent l="0" t="0" r="3810" b="3810"/>
          <wp:wrapSquare wrapText="bothSides"/>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8090" cy="237744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774631" w14:textId="390A9618" w:rsidR="00EF487D" w:rsidRPr="00254C56" w:rsidRDefault="00EF487D" w:rsidP="003166F0">
    <w:pPr>
      <w:pStyle w:val="Header"/>
      <w:tabs>
        <w:tab w:val="clear" w:pos="9720"/>
        <w:tab w:val="right" w:pos="9923"/>
      </w:tabs>
      <w:spacing w:before="360" w:after="120"/>
      <w:rPr>
        <w:rFonts w:cs="Segoe UI"/>
        <w:sz w:val="18"/>
        <w:szCs w:val="18"/>
      </w:rPr>
    </w:pPr>
    <w:r>
      <w:rPr>
        <w:rFonts w:cs="Segoe UI"/>
        <w:sz w:val="18"/>
        <w:szCs w:val="18"/>
        <w:lang w:val="en-AU"/>
      </w:rPr>
      <w:t>Arckaringa and Pedirka Preliminary Assessment Extent: Methodology and Assumptions</w:t>
    </w:r>
    <w:r w:rsidRPr="00254C56">
      <w:rPr>
        <w:rFonts w:cs="Segoe UI"/>
        <w:sz w:val="18"/>
        <w:szCs w:val="18"/>
      </w:rPr>
      <w:tab/>
      <w:t>Version</w:t>
    </w:r>
    <w:r>
      <w:rPr>
        <w:rFonts w:cs="Segoe UI"/>
        <w:sz w:val="18"/>
        <w:szCs w:val="18"/>
      </w:rPr>
      <w:t xml:space="preserve"> 1.0</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1D5D1C"/>
    <w:multiLevelType w:val="hybridMultilevel"/>
    <w:tmpl w:val="6C7091A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nsid w:val="0F8879D0"/>
    <w:multiLevelType w:val="hybridMultilevel"/>
    <w:tmpl w:val="E382837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10622270"/>
    <w:multiLevelType w:val="hybridMultilevel"/>
    <w:tmpl w:val="C99E6C24"/>
    <w:lvl w:ilvl="0" w:tplc="375876BE">
      <w:numFmt w:val="bullet"/>
      <w:lvlText w:val="-"/>
      <w:lvlJc w:val="left"/>
      <w:pPr>
        <w:ind w:left="1080" w:hanging="360"/>
      </w:pPr>
      <w:rPr>
        <w:rFonts w:ascii="Calibri" w:eastAsia="Calibri" w:hAnsi="Calibri" w:cs="Times New Roman" w:hint="default"/>
      </w:rPr>
    </w:lvl>
    <w:lvl w:ilvl="1" w:tplc="0C090003">
      <w:start w:val="1"/>
      <w:numFmt w:val="decimal"/>
      <w:lvlText w:val="%2."/>
      <w:lvlJc w:val="left"/>
      <w:pPr>
        <w:tabs>
          <w:tab w:val="num" w:pos="1440"/>
        </w:tabs>
        <w:ind w:left="1440" w:hanging="360"/>
      </w:pPr>
    </w:lvl>
    <w:lvl w:ilvl="2" w:tplc="0C090005">
      <w:start w:val="1"/>
      <w:numFmt w:val="decimal"/>
      <w:lvlText w:val="%3."/>
      <w:lvlJc w:val="left"/>
      <w:pPr>
        <w:tabs>
          <w:tab w:val="num" w:pos="2160"/>
        </w:tabs>
        <w:ind w:left="2160" w:hanging="360"/>
      </w:pPr>
    </w:lvl>
    <w:lvl w:ilvl="3" w:tplc="0C090001">
      <w:start w:val="1"/>
      <w:numFmt w:val="decimal"/>
      <w:lvlText w:val="%4."/>
      <w:lvlJc w:val="left"/>
      <w:pPr>
        <w:tabs>
          <w:tab w:val="num" w:pos="2880"/>
        </w:tabs>
        <w:ind w:left="2880" w:hanging="360"/>
      </w:pPr>
    </w:lvl>
    <w:lvl w:ilvl="4" w:tplc="0C090003">
      <w:start w:val="1"/>
      <w:numFmt w:val="decimal"/>
      <w:lvlText w:val="%5."/>
      <w:lvlJc w:val="left"/>
      <w:pPr>
        <w:tabs>
          <w:tab w:val="num" w:pos="3600"/>
        </w:tabs>
        <w:ind w:left="3600" w:hanging="360"/>
      </w:pPr>
    </w:lvl>
    <w:lvl w:ilvl="5" w:tplc="0C090005">
      <w:start w:val="1"/>
      <w:numFmt w:val="decimal"/>
      <w:lvlText w:val="%6."/>
      <w:lvlJc w:val="left"/>
      <w:pPr>
        <w:tabs>
          <w:tab w:val="num" w:pos="4320"/>
        </w:tabs>
        <w:ind w:left="4320" w:hanging="360"/>
      </w:pPr>
    </w:lvl>
    <w:lvl w:ilvl="6" w:tplc="0C090001">
      <w:start w:val="1"/>
      <w:numFmt w:val="decimal"/>
      <w:lvlText w:val="%7."/>
      <w:lvlJc w:val="left"/>
      <w:pPr>
        <w:tabs>
          <w:tab w:val="num" w:pos="5040"/>
        </w:tabs>
        <w:ind w:left="5040" w:hanging="360"/>
      </w:pPr>
    </w:lvl>
    <w:lvl w:ilvl="7" w:tplc="0C090003">
      <w:start w:val="1"/>
      <w:numFmt w:val="decimal"/>
      <w:lvlText w:val="%8."/>
      <w:lvlJc w:val="left"/>
      <w:pPr>
        <w:tabs>
          <w:tab w:val="num" w:pos="5760"/>
        </w:tabs>
        <w:ind w:left="5760" w:hanging="360"/>
      </w:pPr>
    </w:lvl>
    <w:lvl w:ilvl="8" w:tplc="0C090005">
      <w:start w:val="1"/>
      <w:numFmt w:val="decimal"/>
      <w:lvlText w:val="%9."/>
      <w:lvlJc w:val="left"/>
      <w:pPr>
        <w:tabs>
          <w:tab w:val="num" w:pos="6480"/>
        </w:tabs>
        <w:ind w:left="6480" w:hanging="360"/>
      </w:pPr>
    </w:lvl>
  </w:abstractNum>
  <w:abstractNum w:abstractNumId="3">
    <w:nsid w:val="1399072B"/>
    <w:multiLevelType w:val="multilevel"/>
    <w:tmpl w:val="0C09001F"/>
    <w:styleLink w:val="111111"/>
    <w:lvl w:ilvl="0">
      <w:start w:val="1"/>
      <w:numFmt w:val="decimal"/>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16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3960"/>
        </w:tabs>
        <w:ind w:left="2232" w:hanging="792"/>
      </w:pPr>
    </w:lvl>
    <w:lvl w:ilvl="5">
      <w:start w:val="1"/>
      <w:numFmt w:val="decimal"/>
      <w:lvlText w:val="%1.%2.%3.%4.%5.%6."/>
      <w:lvlJc w:val="left"/>
      <w:pPr>
        <w:tabs>
          <w:tab w:val="num" w:pos="4680"/>
        </w:tabs>
        <w:ind w:left="2736" w:hanging="936"/>
      </w:pPr>
    </w:lvl>
    <w:lvl w:ilvl="6">
      <w:start w:val="1"/>
      <w:numFmt w:val="decimal"/>
      <w:lvlText w:val="%1.%2.%3.%4.%5.%6.%7."/>
      <w:lvlJc w:val="left"/>
      <w:pPr>
        <w:tabs>
          <w:tab w:val="num" w:pos="5400"/>
        </w:tabs>
        <w:ind w:left="3240" w:hanging="1080"/>
      </w:pPr>
    </w:lvl>
    <w:lvl w:ilvl="7">
      <w:start w:val="1"/>
      <w:numFmt w:val="decimal"/>
      <w:lvlText w:val="%1.%2.%3.%4.%5.%6.%7.%8."/>
      <w:lvlJc w:val="left"/>
      <w:pPr>
        <w:tabs>
          <w:tab w:val="num" w:pos="6480"/>
        </w:tabs>
        <w:ind w:left="3744" w:hanging="1224"/>
      </w:pPr>
    </w:lvl>
    <w:lvl w:ilvl="8">
      <w:start w:val="1"/>
      <w:numFmt w:val="decimal"/>
      <w:lvlText w:val="%1.%2.%3.%4.%5.%6.%7.%8.%9."/>
      <w:lvlJc w:val="left"/>
      <w:pPr>
        <w:tabs>
          <w:tab w:val="num" w:pos="7200"/>
        </w:tabs>
        <w:ind w:left="4320" w:hanging="1440"/>
      </w:pPr>
    </w:lvl>
  </w:abstractNum>
  <w:abstractNum w:abstractNumId="4">
    <w:nsid w:val="173208E3"/>
    <w:multiLevelType w:val="hybridMultilevel"/>
    <w:tmpl w:val="9EB872BC"/>
    <w:lvl w:ilvl="0" w:tplc="E6E447F0">
      <w:start w:val="1"/>
      <w:numFmt w:val="bullet"/>
      <w:pStyle w:val="ListBullet1"/>
      <w:lvlText w:val=""/>
      <w:lvlJc w:val="left"/>
      <w:pPr>
        <w:tabs>
          <w:tab w:val="num" w:pos="1800"/>
        </w:tabs>
        <w:ind w:left="180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361577F0"/>
    <w:multiLevelType w:val="hybridMultilevel"/>
    <w:tmpl w:val="2410D4E4"/>
    <w:lvl w:ilvl="0" w:tplc="0C090001">
      <w:start w:val="1"/>
      <w:numFmt w:val="bullet"/>
      <w:lvlText w:val=""/>
      <w:lvlJc w:val="left"/>
      <w:pPr>
        <w:ind w:left="1800" w:hanging="360"/>
      </w:pPr>
      <w:rPr>
        <w:rFonts w:ascii="Symbol" w:hAnsi="Symbol" w:hint="default"/>
      </w:rPr>
    </w:lvl>
    <w:lvl w:ilvl="1" w:tplc="0C090003" w:tentative="1">
      <w:start w:val="1"/>
      <w:numFmt w:val="bullet"/>
      <w:lvlText w:val="o"/>
      <w:lvlJc w:val="left"/>
      <w:pPr>
        <w:ind w:left="2520" w:hanging="360"/>
      </w:pPr>
      <w:rPr>
        <w:rFonts w:ascii="Courier New" w:hAnsi="Courier New" w:cs="Courier New" w:hint="default"/>
      </w:rPr>
    </w:lvl>
    <w:lvl w:ilvl="2" w:tplc="0C090005" w:tentative="1">
      <w:start w:val="1"/>
      <w:numFmt w:val="bullet"/>
      <w:lvlText w:val=""/>
      <w:lvlJc w:val="left"/>
      <w:pPr>
        <w:ind w:left="3240" w:hanging="360"/>
      </w:pPr>
      <w:rPr>
        <w:rFonts w:ascii="Wingdings" w:hAnsi="Wingdings" w:hint="default"/>
      </w:rPr>
    </w:lvl>
    <w:lvl w:ilvl="3" w:tplc="0C090001" w:tentative="1">
      <w:start w:val="1"/>
      <w:numFmt w:val="bullet"/>
      <w:lvlText w:val=""/>
      <w:lvlJc w:val="left"/>
      <w:pPr>
        <w:ind w:left="3960" w:hanging="360"/>
      </w:pPr>
      <w:rPr>
        <w:rFonts w:ascii="Symbol" w:hAnsi="Symbol" w:hint="default"/>
      </w:rPr>
    </w:lvl>
    <w:lvl w:ilvl="4" w:tplc="0C090003" w:tentative="1">
      <w:start w:val="1"/>
      <w:numFmt w:val="bullet"/>
      <w:lvlText w:val="o"/>
      <w:lvlJc w:val="left"/>
      <w:pPr>
        <w:ind w:left="4680" w:hanging="360"/>
      </w:pPr>
      <w:rPr>
        <w:rFonts w:ascii="Courier New" w:hAnsi="Courier New" w:cs="Courier New" w:hint="default"/>
      </w:rPr>
    </w:lvl>
    <w:lvl w:ilvl="5" w:tplc="0C090005" w:tentative="1">
      <w:start w:val="1"/>
      <w:numFmt w:val="bullet"/>
      <w:lvlText w:val=""/>
      <w:lvlJc w:val="left"/>
      <w:pPr>
        <w:ind w:left="5400" w:hanging="360"/>
      </w:pPr>
      <w:rPr>
        <w:rFonts w:ascii="Wingdings" w:hAnsi="Wingdings" w:hint="default"/>
      </w:rPr>
    </w:lvl>
    <w:lvl w:ilvl="6" w:tplc="0C090001" w:tentative="1">
      <w:start w:val="1"/>
      <w:numFmt w:val="bullet"/>
      <w:lvlText w:val=""/>
      <w:lvlJc w:val="left"/>
      <w:pPr>
        <w:ind w:left="6120" w:hanging="360"/>
      </w:pPr>
      <w:rPr>
        <w:rFonts w:ascii="Symbol" w:hAnsi="Symbol" w:hint="default"/>
      </w:rPr>
    </w:lvl>
    <w:lvl w:ilvl="7" w:tplc="0C090003" w:tentative="1">
      <w:start w:val="1"/>
      <w:numFmt w:val="bullet"/>
      <w:lvlText w:val="o"/>
      <w:lvlJc w:val="left"/>
      <w:pPr>
        <w:ind w:left="6840" w:hanging="360"/>
      </w:pPr>
      <w:rPr>
        <w:rFonts w:ascii="Courier New" w:hAnsi="Courier New" w:cs="Courier New" w:hint="default"/>
      </w:rPr>
    </w:lvl>
    <w:lvl w:ilvl="8" w:tplc="0C090005" w:tentative="1">
      <w:start w:val="1"/>
      <w:numFmt w:val="bullet"/>
      <w:lvlText w:val=""/>
      <w:lvlJc w:val="left"/>
      <w:pPr>
        <w:ind w:left="7560" w:hanging="360"/>
      </w:pPr>
      <w:rPr>
        <w:rFonts w:ascii="Wingdings" w:hAnsi="Wingdings" w:hint="default"/>
      </w:rPr>
    </w:lvl>
  </w:abstractNum>
  <w:abstractNum w:abstractNumId="6">
    <w:nsid w:val="51CB1D89"/>
    <w:multiLevelType w:val="hybridMultilevel"/>
    <w:tmpl w:val="84309CCE"/>
    <w:lvl w:ilvl="0" w:tplc="0C090001">
      <w:start w:val="1"/>
      <w:numFmt w:val="bullet"/>
      <w:lvlText w:val=""/>
      <w:lvlJc w:val="left"/>
      <w:pPr>
        <w:ind w:left="774" w:hanging="360"/>
      </w:pPr>
      <w:rPr>
        <w:rFonts w:ascii="Symbol" w:hAnsi="Symbol" w:hint="default"/>
      </w:rPr>
    </w:lvl>
    <w:lvl w:ilvl="1" w:tplc="0C090003" w:tentative="1">
      <w:start w:val="1"/>
      <w:numFmt w:val="bullet"/>
      <w:lvlText w:val="o"/>
      <w:lvlJc w:val="left"/>
      <w:pPr>
        <w:ind w:left="1494" w:hanging="360"/>
      </w:pPr>
      <w:rPr>
        <w:rFonts w:ascii="Courier New" w:hAnsi="Courier New" w:cs="Courier New" w:hint="default"/>
      </w:rPr>
    </w:lvl>
    <w:lvl w:ilvl="2" w:tplc="0C090005" w:tentative="1">
      <w:start w:val="1"/>
      <w:numFmt w:val="bullet"/>
      <w:lvlText w:val=""/>
      <w:lvlJc w:val="left"/>
      <w:pPr>
        <w:ind w:left="2214" w:hanging="360"/>
      </w:pPr>
      <w:rPr>
        <w:rFonts w:ascii="Wingdings" w:hAnsi="Wingdings" w:hint="default"/>
      </w:rPr>
    </w:lvl>
    <w:lvl w:ilvl="3" w:tplc="0C090001" w:tentative="1">
      <w:start w:val="1"/>
      <w:numFmt w:val="bullet"/>
      <w:lvlText w:val=""/>
      <w:lvlJc w:val="left"/>
      <w:pPr>
        <w:ind w:left="2934" w:hanging="360"/>
      </w:pPr>
      <w:rPr>
        <w:rFonts w:ascii="Symbol" w:hAnsi="Symbol" w:hint="default"/>
      </w:rPr>
    </w:lvl>
    <w:lvl w:ilvl="4" w:tplc="0C090003" w:tentative="1">
      <w:start w:val="1"/>
      <w:numFmt w:val="bullet"/>
      <w:lvlText w:val="o"/>
      <w:lvlJc w:val="left"/>
      <w:pPr>
        <w:ind w:left="3654" w:hanging="360"/>
      </w:pPr>
      <w:rPr>
        <w:rFonts w:ascii="Courier New" w:hAnsi="Courier New" w:cs="Courier New" w:hint="default"/>
      </w:rPr>
    </w:lvl>
    <w:lvl w:ilvl="5" w:tplc="0C090005" w:tentative="1">
      <w:start w:val="1"/>
      <w:numFmt w:val="bullet"/>
      <w:lvlText w:val=""/>
      <w:lvlJc w:val="left"/>
      <w:pPr>
        <w:ind w:left="4374" w:hanging="360"/>
      </w:pPr>
      <w:rPr>
        <w:rFonts w:ascii="Wingdings" w:hAnsi="Wingdings" w:hint="default"/>
      </w:rPr>
    </w:lvl>
    <w:lvl w:ilvl="6" w:tplc="0C090001" w:tentative="1">
      <w:start w:val="1"/>
      <w:numFmt w:val="bullet"/>
      <w:lvlText w:val=""/>
      <w:lvlJc w:val="left"/>
      <w:pPr>
        <w:ind w:left="5094" w:hanging="360"/>
      </w:pPr>
      <w:rPr>
        <w:rFonts w:ascii="Symbol" w:hAnsi="Symbol" w:hint="default"/>
      </w:rPr>
    </w:lvl>
    <w:lvl w:ilvl="7" w:tplc="0C090003" w:tentative="1">
      <w:start w:val="1"/>
      <w:numFmt w:val="bullet"/>
      <w:lvlText w:val="o"/>
      <w:lvlJc w:val="left"/>
      <w:pPr>
        <w:ind w:left="5814" w:hanging="360"/>
      </w:pPr>
      <w:rPr>
        <w:rFonts w:ascii="Courier New" w:hAnsi="Courier New" w:cs="Courier New" w:hint="default"/>
      </w:rPr>
    </w:lvl>
    <w:lvl w:ilvl="8" w:tplc="0C090005" w:tentative="1">
      <w:start w:val="1"/>
      <w:numFmt w:val="bullet"/>
      <w:lvlText w:val=""/>
      <w:lvlJc w:val="left"/>
      <w:pPr>
        <w:ind w:left="6534" w:hanging="360"/>
      </w:pPr>
      <w:rPr>
        <w:rFonts w:ascii="Wingdings" w:hAnsi="Wingdings" w:hint="default"/>
      </w:rPr>
    </w:lvl>
  </w:abstractNum>
  <w:abstractNum w:abstractNumId="7">
    <w:nsid w:val="521F3AA3"/>
    <w:multiLevelType w:val="hybridMultilevel"/>
    <w:tmpl w:val="57D2987A"/>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8">
    <w:nsid w:val="52F430F3"/>
    <w:multiLevelType w:val="hybridMultilevel"/>
    <w:tmpl w:val="34343D8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nsid w:val="55F01A41"/>
    <w:multiLevelType w:val="multilevel"/>
    <w:tmpl w:val="F4E20944"/>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1080"/>
        </w:tabs>
        <w:ind w:left="1080" w:hanging="720"/>
      </w:pPr>
      <w:rPr>
        <w:rFonts w:hint="default"/>
      </w:rPr>
    </w:lvl>
    <w:lvl w:ilvl="2">
      <w:start w:val="1"/>
      <w:numFmt w:val="decimal"/>
      <w:pStyle w:val="Heading3"/>
      <w:lvlText w:val="%1.%2.%3"/>
      <w:lvlJc w:val="left"/>
      <w:pPr>
        <w:tabs>
          <w:tab w:val="num" w:pos="1440"/>
        </w:tabs>
        <w:ind w:left="1440" w:hanging="720"/>
      </w:pPr>
      <w:rPr>
        <w:rFonts w:hint="default"/>
      </w:rPr>
    </w:lvl>
    <w:lvl w:ilvl="3">
      <w:start w:val="1"/>
      <w:numFmt w:val="decimal"/>
      <w:lvlText w:val="%1.%2.%3.%4"/>
      <w:lvlJc w:val="left"/>
      <w:pPr>
        <w:tabs>
          <w:tab w:val="num" w:pos="1584"/>
        </w:tabs>
        <w:ind w:left="1584" w:hanging="864"/>
      </w:pPr>
      <w:rPr>
        <w:rFonts w:hint="default"/>
      </w:rPr>
    </w:lvl>
    <w:lvl w:ilvl="4">
      <w:start w:val="1"/>
      <w:numFmt w:val="decimal"/>
      <w:pStyle w:val="Heading5"/>
      <w:lvlText w:val="%1.%2.%3.%4.%5"/>
      <w:lvlJc w:val="left"/>
      <w:pPr>
        <w:tabs>
          <w:tab w:val="num" w:pos="1728"/>
        </w:tabs>
        <w:ind w:left="1728" w:hanging="1008"/>
      </w:pPr>
      <w:rPr>
        <w:rFonts w:hint="default"/>
      </w:rPr>
    </w:lvl>
    <w:lvl w:ilvl="5">
      <w:start w:val="1"/>
      <w:numFmt w:val="decimal"/>
      <w:pStyle w:val="Heading6"/>
      <w:lvlText w:val="%1.%2.%3.%4.%5.%6"/>
      <w:lvlJc w:val="left"/>
      <w:pPr>
        <w:tabs>
          <w:tab w:val="num" w:pos="1872"/>
        </w:tabs>
        <w:ind w:left="1872" w:hanging="1152"/>
      </w:pPr>
      <w:rPr>
        <w:rFonts w:hint="default"/>
      </w:rPr>
    </w:lvl>
    <w:lvl w:ilvl="6">
      <w:start w:val="1"/>
      <w:numFmt w:val="decimal"/>
      <w:pStyle w:val="Heading7"/>
      <w:lvlText w:val="%1.%2.%3.%4.%5.%6.%7"/>
      <w:lvlJc w:val="left"/>
      <w:pPr>
        <w:tabs>
          <w:tab w:val="num" w:pos="2016"/>
        </w:tabs>
        <w:ind w:left="2016" w:hanging="1296"/>
      </w:pPr>
      <w:rPr>
        <w:rFonts w:hint="default"/>
      </w:rPr>
    </w:lvl>
    <w:lvl w:ilvl="7">
      <w:start w:val="1"/>
      <w:numFmt w:val="decimal"/>
      <w:pStyle w:val="Heading8"/>
      <w:lvlText w:val="%1.%2.%3.%4.%5.%6.%7.%8"/>
      <w:lvlJc w:val="left"/>
      <w:pPr>
        <w:tabs>
          <w:tab w:val="num" w:pos="2160"/>
        </w:tabs>
        <w:ind w:left="2160" w:hanging="1440"/>
      </w:pPr>
      <w:rPr>
        <w:rFonts w:hint="default"/>
      </w:rPr>
    </w:lvl>
    <w:lvl w:ilvl="8">
      <w:start w:val="1"/>
      <w:numFmt w:val="decimal"/>
      <w:pStyle w:val="Heading9"/>
      <w:lvlText w:val="%1.%2.%3.%4.%5.%6.%7.%8.%9"/>
      <w:lvlJc w:val="left"/>
      <w:pPr>
        <w:tabs>
          <w:tab w:val="num" w:pos="2304"/>
        </w:tabs>
        <w:ind w:left="2304" w:hanging="1584"/>
      </w:pPr>
      <w:rPr>
        <w:rFonts w:hint="default"/>
      </w:rPr>
    </w:lvl>
  </w:abstractNum>
  <w:abstractNum w:abstractNumId="10">
    <w:nsid w:val="56274D51"/>
    <w:multiLevelType w:val="hybridMultilevel"/>
    <w:tmpl w:val="1076DC14"/>
    <w:lvl w:ilvl="0" w:tplc="0C9E54D0">
      <w:numFmt w:val="bullet"/>
      <w:lvlText w:val="-"/>
      <w:lvlJc w:val="left"/>
      <w:pPr>
        <w:ind w:left="720" w:hanging="360"/>
      </w:pPr>
      <w:rPr>
        <w:rFonts w:ascii="Calibri" w:eastAsiaTheme="minorHAnsi" w:hAnsi="Calibri"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nsid w:val="5C6F46EE"/>
    <w:multiLevelType w:val="hybridMultilevel"/>
    <w:tmpl w:val="D5ACA02E"/>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2">
    <w:nsid w:val="66BD22C1"/>
    <w:multiLevelType w:val="hybridMultilevel"/>
    <w:tmpl w:val="F0A0E65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6DB34913"/>
    <w:multiLevelType w:val="hybridMultilevel"/>
    <w:tmpl w:val="06B46DD0"/>
    <w:lvl w:ilvl="0" w:tplc="53568234">
      <w:start w:val="1"/>
      <w:numFmt w:val="bullet"/>
      <w:pStyle w:val="TableBullet"/>
      <w:lvlText w:val=""/>
      <w:lvlJc w:val="left"/>
      <w:pPr>
        <w:tabs>
          <w:tab w:val="num" w:pos="574"/>
        </w:tabs>
        <w:ind w:left="574" w:hanging="360"/>
      </w:pPr>
      <w:rPr>
        <w:rFonts w:ascii="Symbol" w:hAnsi="Symbol" w:hint="default"/>
        <w:color w:val="auto"/>
      </w:rPr>
    </w:lvl>
    <w:lvl w:ilvl="1" w:tplc="97F8AEB4" w:tentative="1">
      <w:start w:val="1"/>
      <w:numFmt w:val="bullet"/>
      <w:lvlText w:val="o"/>
      <w:lvlJc w:val="left"/>
      <w:pPr>
        <w:tabs>
          <w:tab w:val="num" w:pos="654"/>
        </w:tabs>
        <w:ind w:left="654" w:hanging="360"/>
      </w:pPr>
      <w:rPr>
        <w:rFonts w:ascii="Courier New" w:hAnsi="Courier New" w:cs="Courier New" w:hint="default"/>
      </w:rPr>
    </w:lvl>
    <w:lvl w:ilvl="2" w:tplc="C1186586" w:tentative="1">
      <w:start w:val="1"/>
      <w:numFmt w:val="bullet"/>
      <w:lvlText w:val=""/>
      <w:lvlJc w:val="left"/>
      <w:pPr>
        <w:tabs>
          <w:tab w:val="num" w:pos="1374"/>
        </w:tabs>
        <w:ind w:left="1374" w:hanging="360"/>
      </w:pPr>
      <w:rPr>
        <w:rFonts w:ascii="Wingdings" w:hAnsi="Wingdings" w:hint="default"/>
      </w:rPr>
    </w:lvl>
    <w:lvl w:ilvl="3" w:tplc="28466FD8" w:tentative="1">
      <w:start w:val="1"/>
      <w:numFmt w:val="bullet"/>
      <w:lvlText w:val=""/>
      <w:lvlJc w:val="left"/>
      <w:pPr>
        <w:tabs>
          <w:tab w:val="num" w:pos="2094"/>
        </w:tabs>
        <w:ind w:left="2094" w:hanging="360"/>
      </w:pPr>
      <w:rPr>
        <w:rFonts w:ascii="Symbol" w:hAnsi="Symbol" w:hint="default"/>
      </w:rPr>
    </w:lvl>
    <w:lvl w:ilvl="4" w:tplc="18E0AE94" w:tentative="1">
      <w:start w:val="1"/>
      <w:numFmt w:val="bullet"/>
      <w:lvlText w:val="o"/>
      <w:lvlJc w:val="left"/>
      <w:pPr>
        <w:tabs>
          <w:tab w:val="num" w:pos="2814"/>
        </w:tabs>
        <w:ind w:left="2814" w:hanging="360"/>
      </w:pPr>
      <w:rPr>
        <w:rFonts w:ascii="Courier New" w:hAnsi="Courier New" w:cs="Courier New" w:hint="default"/>
      </w:rPr>
    </w:lvl>
    <w:lvl w:ilvl="5" w:tplc="FD58C02A" w:tentative="1">
      <w:start w:val="1"/>
      <w:numFmt w:val="bullet"/>
      <w:lvlText w:val=""/>
      <w:lvlJc w:val="left"/>
      <w:pPr>
        <w:tabs>
          <w:tab w:val="num" w:pos="3534"/>
        </w:tabs>
        <w:ind w:left="3534" w:hanging="360"/>
      </w:pPr>
      <w:rPr>
        <w:rFonts w:ascii="Wingdings" w:hAnsi="Wingdings" w:hint="default"/>
      </w:rPr>
    </w:lvl>
    <w:lvl w:ilvl="6" w:tplc="9EFA55F2" w:tentative="1">
      <w:start w:val="1"/>
      <w:numFmt w:val="bullet"/>
      <w:lvlText w:val=""/>
      <w:lvlJc w:val="left"/>
      <w:pPr>
        <w:tabs>
          <w:tab w:val="num" w:pos="4254"/>
        </w:tabs>
        <w:ind w:left="4254" w:hanging="360"/>
      </w:pPr>
      <w:rPr>
        <w:rFonts w:ascii="Symbol" w:hAnsi="Symbol" w:hint="default"/>
      </w:rPr>
    </w:lvl>
    <w:lvl w:ilvl="7" w:tplc="819E117C" w:tentative="1">
      <w:start w:val="1"/>
      <w:numFmt w:val="bullet"/>
      <w:lvlText w:val="o"/>
      <w:lvlJc w:val="left"/>
      <w:pPr>
        <w:tabs>
          <w:tab w:val="num" w:pos="4974"/>
        </w:tabs>
        <w:ind w:left="4974" w:hanging="360"/>
      </w:pPr>
      <w:rPr>
        <w:rFonts w:ascii="Courier New" w:hAnsi="Courier New" w:cs="Courier New" w:hint="default"/>
      </w:rPr>
    </w:lvl>
    <w:lvl w:ilvl="8" w:tplc="16B21158" w:tentative="1">
      <w:start w:val="1"/>
      <w:numFmt w:val="bullet"/>
      <w:lvlText w:val=""/>
      <w:lvlJc w:val="left"/>
      <w:pPr>
        <w:tabs>
          <w:tab w:val="num" w:pos="5694"/>
        </w:tabs>
        <w:ind w:left="5694" w:hanging="360"/>
      </w:pPr>
      <w:rPr>
        <w:rFonts w:ascii="Wingdings" w:hAnsi="Wingdings" w:hint="default"/>
      </w:rPr>
    </w:lvl>
  </w:abstractNum>
  <w:abstractNum w:abstractNumId="14">
    <w:nsid w:val="730C7702"/>
    <w:multiLevelType w:val="hybridMultilevel"/>
    <w:tmpl w:val="D93A1F66"/>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num w:numId="1">
    <w:abstractNumId w:val="9"/>
  </w:num>
  <w:num w:numId="2">
    <w:abstractNumId w:val="4"/>
  </w:num>
  <w:num w:numId="3">
    <w:abstractNumId w:val="13"/>
  </w:num>
  <w:num w:numId="4">
    <w:abstractNumId w:val="3"/>
  </w:num>
  <w:num w:numId="5">
    <w:abstractNumId w:val="1"/>
  </w:num>
  <w:num w:numId="6">
    <w:abstractNumId w:val="0"/>
  </w:num>
  <w:num w:numId="7">
    <w:abstractNumId w:val="7"/>
  </w:num>
  <w:num w:numId="8">
    <w:abstractNumId w:val="11"/>
  </w:num>
  <w:num w:numId="9">
    <w:abstractNumId w:val="10"/>
  </w:num>
  <w:num w:numId="10">
    <w:abstractNumId w:val="8"/>
  </w:num>
  <w:num w:numId="11">
    <w:abstractNumId w:val="12"/>
  </w:num>
  <w:num w:numId="12">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4"/>
  </w:num>
  <w:num w:numId="14">
    <w:abstractNumId w:val="5"/>
  </w:num>
  <w:num w:numId="15">
    <w:abstractNumId w:val="6"/>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hideSpellingErrors/>
  <w:hideGrammaticalError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54" fillcolor="#099" strokecolor="#9cf">
      <v:fill color="#099"/>
      <v:stroke color="#9cf"/>
      <o:colormru v:ext="edit" colors="#099"/>
    </o:shapedefaults>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44541"/>
    <w:rsid w:val="00002527"/>
    <w:rsid w:val="00007B39"/>
    <w:rsid w:val="00010226"/>
    <w:rsid w:val="00015402"/>
    <w:rsid w:val="00021006"/>
    <w:rsid w:val="000229E0"/>
    <w:rsid w:val="00027267"/>
    <w:rsid w:val="00031848"/>
    <w:rsid w:val="00034161"/>
    <w:rsid w:val="000343FD"/>
    <w:rsid w:val="000344B7"/>
    <w:rsid w:val="00045014"/>
    <w:rsid w:val="000473CE"/>
    <w:rsid w:val="000575A7"/>
    <w:rsid w:val="00057D26"/>
    <w:rsid w:val="000602CF"/>
    <w:rsid w:val="0006346B"/>
    <w:rsid w:val="00065E09"/>
    <w:rsid w:val="00072576"/>
    <w:rsid w:val="00072E7A"/>
    <w:rsid w:val="0007344F"/>
    <w:rsid w:val="00073954"/>
    <w:rsid w:val="00075028"/>
    <w:rsid w:val="0007755B"/>
    <w:rsid w:val="000776C2"/>
    <w:rsid w:val="000875F7"/>
    <w:rsid w:val="00087616"/>
    <w:rsid w:val="000902DD"/>
    <w:rsid w:val="00092F75"/>
    <w:rsid w:val="00094685"/>
    <w:rsid w:val="00097010"/>
    <w:rsid w:val="000A0714"/>
    <w:rsid w:val="000A52FC"/>
    <w:rsid w:val="000B1E0E"/>
    <w:rsid w:val="000B67E2"/>
    <w:rsid w:val="000C0715"/>
    <w:rsid w:val="000C1CA7"/>
    <w:rsid w:val="000C63C9"/>
    <w:rsid w:val="000D14AD"/>
    <w:rsid w:val="000D3084"/>
    <w:rsid w:val="000D46DE"/>
    <w:rsid w:val="000D47A6"/>
    <w:rsid w:val="000E2336"/>
    <w:rsid w:val="000F43F3"/>
    <w:rsid w:val="000F52EB"/>
    <w:rsid w:val="000F6465"/>
    <w:rsid w:val="000F74C9"/>
    <w:rsid w:val="00100484"/>
    <w:rsid w:val="00104FD2"/>
    <w:rsid w:val="00105756"/>
    <w:rsid w:val="00110252"/>
    <w:rsid w:val="00114282"/>
    <w:rsid w:val="0011583F"/>
    <w:rsid w:val="00130062"/>
    <w:rsid w:val="00130B9E"/>
    <w:rsid w:val="0013224F"/>
    <w:rsid w:val="001330E9"/>
    <w:rsid w:val="0013379C"/>
    <w:rsid w:val="001360F4"/>
    <w:rsid w:val="00143D8B"/>
    <w:rsid w:val="00147946"/>
    <w:rsid w:val="00154BE2"/>
    <w:rsid w:val="00156F15"/>
    <w:rsid w:val="00161648"/>
    <w:rsid w:val="0016180C"/>
    <w:rsid w:val="00161C0B"/>
    <w:rsid w:val="00164F5F"/>
    <w:rsid w:val="0017060D"/>
    <w:rsid w:val="00172B85"/>
    <w:rsid w:val="00175CE0"/>
    <w:rsid w:val="00177D2E"/>
    <w:rsid w:val="001805F7"/>
    <w:rsid w:val="00181A38"/>
    <w:rsid w:val="001859F6"/>
    <w:rsid w:val="00185ACE"/>
    <w:rsid w:val="00185D8C"/>
    <w:rsid w:val="00197215"/>
    <w:rsid w:val="001A51AF"/>
    <w:rsid w:val="001A6046"/>
    <w:rsid w:val="001A6526"/>
    <w:rsid w:val="001A6BA8"/>
    <w:rsid w:val="001A7DF1"/>
    <w:rsid w:val="001B69D3"/>
    <w:rsid w:val="001D1CDA"/>
    <w:rsid w:val="001E2B6C"/>
    <w:rsid w:val="001E787B"/>
    <w:rsid w:val="001F49DB"/>
    <w:rsid w:val="001F51E4"/>
    <w:rsid w:val="00205BE8"/>
    <w:rsid w:val="00207645"/>
    <w:rsid w:val="00212F8E"/>
    <w:rsid w:val="0021474A"/>
    <w:rsid w:val="002152DE"/>
    <w:rsid w:val="002159C4"/>
    <w:rsid w:val="00222AF8"/>
    <w:rsid w:val="002234DC"/>
    <w:rsid w:val="002306E3"/>
    <w:rsid w:val="00232279"/>
    <w:rsid w:val="002445E3"/>
    <w:rsid w:val="00251632"/>
    <w:rsid w:val="00252DEB"/>
    <w:rsid w:val="00254C56"/>
    <w:rsid w:val="002607A0"/>
    <w:rsid w:val="002614A4"/>
    <w:rsid w:val="00270D37"/>
    <w:rsid w:val="00273649"/>
    <w:rsid w:val="0027377C"/>
    <w:rsid w:val="00274200"/>
    <w:rsid w:val="00280F49"/>
    <w:rsid w:val="002868F3"/>
    <w:rsid w:val="00290B45"/>
    <w:rsid w:val="00292391"/>
    <w:rsid w:val="00294DDB"/>
    <w:rsid w:val="00296591"/>
    <w:rsid w:val="00297854"/>
    <w:rsid w:val="002A0B09"/>
    <w:rsid w:val="002A39D4"/>
    <w:rsid w:val="002A4322"/>
    <w:rsid w:val="002A5A2E"/>
    <w:rsid w:val="002B2766"/>
    <w:rsid w:val="002B5115"/>
    <w:rsid w:val="002B5715"/>
    <w:rsid w:val="002B76A9"/>
    <w:rsid w:val="002C021B"/>
    <w:rsid w:val="002C213E"/>
    <w:rsid w:val="002C5DD0"/>
    <w:rsid w:val="002C696A"/>
    <w:rsid w:val="002D479B"/>
    <w:rsid w:val="002D70BA"/>
    <w:rsid w:val="002D7835"/>
    <w:rsid w:val="002F0531"/>
    <w:rsid w:val="002F6182"/>
    <w:rsid w:val="002F6C3C"/>
    <w:rsid w:val="00300F88"/>
    <w:rsid w:val="00310AC9"/>
    <w:rsid w:val="00312195"/>
    <w:rsid w:val="003166F0"/>
    <w:rsid w:val="00323F8A"/>
    <w:rsid w:val="00325378"/>
    <w:rsid w:val="00325A48"/>
    <w:rsid w:val="00326449"/>
    <w:rsid w:val="00330CEC"/>
    <w:rsid w:val="00334A32"/>
    <w:rsid w:val="0033546A"/>
    <w:rsid w:val="00335B4D"/>
    <w:rsid w:val="00336190"/>
    <w:rsid w:val="003414BE"/>
    <w:rsid w:val="00341BB3"/>
    <w:rsid w:val="00342DFA"/>
    <w:rsid w:val="0034336D"/>
    <w:rsid w:val="003433A4"/>
    <w:rsid w:val="00364CE6"/>
    <w:rsid w:val="00366EEE"/>
    <w:rsid w:val="00367195"/>
    <w:rsid w:val="003709C5"/>
    <w:rsid w:val="00387BDF"/>
    <w:rsid w:val="003915FA"/>
    <w:rsid w:val="0039388C"/>
    <w:rsid w:val="00394BB7"/>
    <w:rsid w:val="003A2E74"/>
    <w:rsid w:val="003A3896"/>
    <w:rsid w:val="003A4F19"/>
    <w:rsid w:val="003A5559"/>
    <w:rsid w:val="003B0E2D"/>
    <w:rsid w:val="003B509C"/>
    <w:rsid w:val="003C3BEF"/>
    <w:rsid w:val="003C43BE"/>
    <w:rsid w:val="003C66AD"/>
    <w:rsid w:val="003D1A80"/>
    <w:rsid w:val="003D2C92"/>
    <w:rsid w:val="003D5188"/>
    <w:rsid w:val="003D77E6"/>
    <w:rsid w:val="003E058E"/>
    <w:rsid w:val="003E2934"/>
    <w:rsid w:val="003E3072"/>
    <w:rsid w:val="003F157A"/>
    <w:rsid w:val="003F2F8F"/>
    <w:rsid w:val="003F3AA8"/>
    <w:rsid w:val="003F3CAF"/>
    <w:rsid w:val="003F6D00"/>
    <w:rsid w:val="003F7029"/>
    <w:rsid w:val="003F7661"/>
    <w:rsid w:val="004010F6"/>
    <w:rsid w:val="00402C09"/>
    <w:rsid w:val="0040653B"/>
    <w:rsid w:val="00407EB7"/>
    <w:rsid w:val="00415589"/>
    <w:rsid w:val="004218BD"/>
    <w:rsid w:val="004238ED"/>
    <w:rsid w:val="004249C6"/>
    <w:rsid w:val="00426FF0"/>
    <w:rsid w:val="0043194D"/>
    <w:rsid w:val="00432DA7"/>
    <w:rsid w:val="00433FAF"/>
    <w:rsid w:val="00436101"/>
    <w:rsid w:val="004363E9"/>
    <w:rsid w:val="0044012A"/>
    <w:rsid w:val="00451CCC"/>
    <w:rsid w:val="00456FBE"/>
    <w:rsid w:val="00461A3B"/>
    <w:rsid w:val="00461D24"/>
    <w:rsid w:val="00461FF8"/>
    <w:rsid w:val="0046347D"/>
    <w:rsid w:val="00464B4C"/>
    <w:rsid w:val="004736D1"/>
    <w:rsid w:val="00474ECB"/>
    <w:rsid w:val="0047592A"/>
    <w:rsid w:val="00481C22"/>
    <w:rsid w:val="0048552A"/>
    <w:rsid w:val="0048567A"/>
    <w:rsid w:val="00492596"/>
    <w:rsid w:val="00495B21"/>
    <w:rsid w:val="004971D9"/>
    <w:rsid w:val="004976B7"/>
    <w:rsid w:val="004A04EB"/>
    <w:rsid w:val="004A42CF"/>
    <w:rsid w:val="004B0326"/>
    <w:rsid w:val="004B167B"/>
    <w:rsid w:val="004B213F"/>
    <w:rsid w:val="004B32F8"/>
    <w:rsid w:val="004B384B"/>
    <w:rsid w:val="004B4821"/>
    <w:rsid w:val="004B4B5D"/>
    <w:rsid w:val="004B5732"/>
    <w:rsid w:val="004C0A55"/>
    <w:rsid w:val="004C0A85"/>
    <w:rsid w:val="004C2D36"/>
    <w:rsid w:val="004C3DC4"/>
    <w:rsid w:val="004D14FA"/>
    <w:rsid w:val="004D2311"/>
    <w:rsid w:val="004D45DA"/>
    <w:rsid w:val="004D498E"/>
    <w:rsid w:val="004D6D4A"/>
    <w:rsid w:val="004D7BD9"/>
    <w:rsid w:val="004F47AA"/>
    <w:rsid w:val="004F4912"/>
    <w:rsid w:val="004F4B1B"/>
    <w:rsid w:val="004F4C20"/>
    <w:rsid w:val="00501809"/>
    <w:rsid w:val="005031AD"/>
    <w:rsid w:val="00503DC6"/>
    <w:rsid w:val="00504C82"/>
    <w:rsid w:val="00506ADB"/>
    <w:rsid w:val="00522190"/>
    <w:rsid w:val="00523322"/>
    <w:rsid w:val="005243C3"/>
    <w:rsid w:val="005250A3"/>
    <w:rsid w:val="00532DDE"/>
    <w:rsid w:val="00535676"/>
    <w:rsid w:val="00537369"/>
    <w:rsid w:val="00543FE0"/>
    <w:rsid w:val="005464B8"/>
    <w:rsid w:val="00550991"/>
    <w:rsid w:val="00555499"/>
    <w:rsid w:val="005667F5"/>
    <w:rsid w:val="00570036"/>
    <w:rsid w:val="00573B9D"/>
    <w:rsid w:val="0058278A"/>
    <w:rsid w:val="00585276"/>
    <w:rsid w:val="00586BE3"/>
    <w:rsid w:val="00592AFC"/>
    <w:rsid w:val="00597212"/>
    <w:rsid w:val="0059763B"/>
    <w:rsid w:val="00597C93"/>
    <w:rsid w:val="005A2346"/>
    <w:rsid w:val="005A3571"/>
    <w:rsid w:val="005A4AD9"/>
    <w:rsid w:val="005B3ABD"/>
    <w:rsid w:val="005B7BD5"/>
    <w:rsid w:val="005C0283"/>
    <w:rsid w:val="005C0F16"/>
    <w:rsid w:val="005C38F0"/>
    <w:rsid w:val="005C74E2"/>
    <w:rsid w:val="005D2D77"/>
    <w:rsid w:val="005E1C19"/>
    <w:rsid w:val="005E2492"/>
    <w:rsid w:val="005F3118"/>
    <w:rsid w:val="00600FBC"/>
    <w:rsid w:val="0060207D"/>
    <w:rsid w:val="00602487"/>
    <w:rsid w:val="00602F75"/>
    <w:rsid w:val="00607F10"/>
    <w:rsid w:val="00610CFB"/>
    <w:rsid w:val="00611BFE"/>
    <w:rsid w:val="00613112"/>
    <w:rsid w:val="006148E4"/>
    <w:rsid w:val="00616B2F"/>
    <w:rsid w:val="00617BB4"/>
    <w:rsid w:val="0063670F"/>
    <w:rsid w:val="006530BA"/>
    <w:rsid w:val="00653516"/>
    <w:rsid w:val="006550DD"/>
    <w:rsid w:val="0065655A"/>
    <w:rsid w:val="006654DA"/>
    <w:rsid w:val="00666930"/>
    <w:rsid w:val="00676A8B"/>
    <w:rsid w:val="0069010A"/>
    <w:rsid w:val="006911E4"/>
    <w:rsid w:val="0069166B"/>
    <w:rsid w:val="006927DE"/>
    <w:rsid w:val="00695500"/>
    <w:rsid w:val="006A7160"/>
    <w:rsid w:val="006B65DD"/>
    <w:rsid w:val="006C1D61"/>
    <w:rsid w:val="006C412F"/>
    <w:rsid w:val="006C7990"/>
    <w:rsid w:val="006C7E40"/>
    <w:rsid w:val="006D1D1F"/>
    <w:rsid w:val="006D5D69"/>
    <w:rsid w:val="006D5FF3"/>
    <w:rsid w:val="006E6426"/>
    <w:rsid w:val="0070222B"/>
    <w:rsid w:val="0070449E"/>
    <w:rsid w:val="0070620E"/>
    <w:rsid w:val="00711406"/>
    <w:rsid w:val="00714C18"/>
    <w:rsid w:val="00714F9D"/>
    <w:rsid w:val="0071714D"/>
    <w:rsid w:val="00717FA6"/>
    <w:rsid w:val="00720B7E"/>
    <w:rsid w:val="007300DC"/>
    <w:rsid w:val="00730C51"/>
    <w:rsid w:val="00734C91"/>
    <w:rsid w:val="00736A4E"/>
    <w:rsid w:val="00736ED1"/>
    <w:rsid w:val="007379F5"/>
    <w:rsid w:val="00740BD9"/>
    <w:rsid w:val="0074138D"/>
    <w:rsid w:val="00741C7F"/>
    <w:rsid w:val="00744550"/>
    <w:rsid w:val="007470E9"/>
    <w:rsid w:val="00750389"/>
    <w:rsid w:val="00751236"/>
    <w:rsid w:val="00753219"/>
    <w:rsid w:val="00755BB4"/>
    <w:rsid w:val="00772EFF"/>
    <w:rsid w:val="00774B06"/>
    <w:rsid w:val="00775CA4"/>
    <w:rsid w:val="00777DB2"/>
    <w:rsid w:val="007801D6"/>
    <w:rsid w:val="00781B1E"/>
    <w:rsid w:val="007839C9"/>
    <w:rsid w:val="007908B8"/>
    <w:rsid w:val="00791407"/>
    <w:rsid w:val="007917E8"/>
    <w:rsid w:val="00793B5B"/>
    <w:rsid w:val="007964FA"/>
    <w:rsid w:val="007A7F49"/>
    <w:rsid w:val="007B1C8A"/>
    <w:rsid w:val="007C2D45"/>
    <w:rsid w:val="007D3FC6"/>
    <w:rsid w:val="007D49AE"/>
    <w:rsid w:val="007D6139"/>
    <w:rsid w:val="007D698B"/>
    <w:rsid w:val="007E0D73"/>
    <w:rsid w:val="007E16C7"/>
    <w:rsid w:val="007E28D0"/>
    <w:rsid w:val="007F3978"/>
    <w:rsid w:val="007F40FB"/>
    <w:rsid w:val="007F7675"/>
    <w:rsid w:val="00802D61"/>
    <w:rsid w:val="00803B37"/>
    <w:rsid w:val="008058B2"/>
    <w:rsid w:val="00806ABD"/>
    <w:rsid w:val="00815602"/>
    <w:rsid w:val="008251F0"/>
    <w:rsid w:val="00833137"/>
    <w:rsid w:val="0084033D"/>
    <w:rsid w:val="008430F5"/>
    <w:rsid w:val="00845244"/>
    <w:rsid w:val="00850BB6"/>
    <w:rsid w:val="00851C30"/>
    <w:rsid w:val="00861AC7"/>
    <w:rsid w:val="00864CBE"/>
    <w:rsid w:val="00872707"/>
    <w:rsid w:val="0087615A"/>
    <w:rsid w:val="00876899"/>
    <w:rsid w:val="0088499B"/>
    <w:rsid w:val="00886B2F"/>
    <w:rsid w:val="008872B4"/>
    <w:rsid w:val="0089037B"/>
    <w:rsid w:val="008A17E0"/>
    <w:rsid w:val="008A2506"/>
    <w:rsid w:val="008A301C"/>
    <w:rsid w:val="008A3E62"/>
    <w:rsid w:val="008B32F1"/>
    <w:rsid w:val="008B4272"/>
    <w:rsid w:val="008C025D"/>
    <w:rsid w:val="008C0C9B"/>
    <w:rsid w:val="008C1EBC"/>
    <w:rsid w:val="008C32DA"/>
    <w:rsid w:val="008C3AD4"/>
    <w:rsid w:val="008C5E9E"/>
    <w:rsid w:val="008D0D3B"/>
    <w:rsid w:val="008D2FDD"/>
    <w:rsid w:val="008D3EDF"/>
    <w:rsid w:val="008D54D7"/>
    <w:rsid w:val="008D565C"/>
    <w:rsid w:val="008D6C3D"/>
    <w:rsid w:val="008D7681"/>
    <w:rsid w:val="008E210D"/>
    <w:rsid w:val="008E2BAA"/>
    <w:rsid w:val="008F56A2"/>
    <w:rsid w:val="008F7431"/>
    <w:rsid w:val="008F7D46"/>
    <w:rsid w:val="00902687"/>
    <w:rsid w:val="00902CA4"/>
    <w:rsid w:val="00903A2B"/>
    <w:rsid w:val="009046ED"/>
    <w:rsid w:val="009055BC"/>
    <w:rsid w:val="00917C93"/>
    <w:rsid w:val="00920CE1"/>
    <w:rsid w:val="0092797E"/>
    <w:rsid w:val="00927A37"/>
    <w:rsid w:val="009319A8"/>
    <w:rsid w:val="00935500"/>
    <w:rsid w:val="009361E3"/>
    <w:rsid w:val="00937610"/>
    <w:rsid w:val="00941273"/>
    <w:rsid w:val="00942659"/>
    <w:rsid w:val="0094570B"/>
    <w:rsid w:val="00953FA0"/>
    <w:rsid w:val="00954ABC"/>
    <w:rsid w:val="00957469"/>
    <w:rsid w:val="009604EE"/>
    <w:rsid w:val="00971B2C"/>
    <w:rsid w:val="009757C0"/>
    <w:rsid w:val="00980080"/>
    <w:rsid w:val="00983785"/>
    <w:rsid w:val="00986B10"/>
    <w:rsid w:val="009870C6"/>
    <w:rsid w:val="0099001E"/>
    <w:rsid w:val="0099039D"/>
    <w:rsid w:val="009908DC"/>
    <w:rsid w:val="00993EBE"/>
    <w:rsid w:val="009A5FED"/>
    <w:rsid w:val="009A6523"/>
    <w:rsid w:val="009A72D6"/>
    <w:rsid w:val="009B1208"/>
    <w:rsid w:val="009B1742"/>
    <w:rsid w:val="009B5902"/>
    <w:rsid w:val="009C113A"/>
    <w:rsid w:val="009E0A65"/>
    <w:rsid w:val="009E2798"/>
    <w:rsid w:val="009F1210"/>
    <w:rsid w:val="009F1240"/>
    <w:rsid w:val="00A02F49"/>
    <w:rsid w:val="00A0461D"/>
    <w:rsid w:val="00A04862"/>
    <w:rsid w:val="00A11C19"/>
    <w:rsid w:val="00A158F0"/>
    <w:rsid w:val="00A2012A"/>
    <w:rsid w:val="00A21FD9"/>
    <w:rsid w:val="00A23194"/>
    <w:rsid w:val="00A30042"/>
    <w:rsid w:val="00A33B8D"/>
    <w:rsid w:val="00A3451A"/>
    <w:rsid w:val="00A361CD"/>
    <w:rsid w:val="00A36803"/>
    <w:rsid w:val="00A41D94"/>
    <w:rsid w:val="00A429EA"/>
    <w:rsid w:val="00A43C0E"/>
    <w:rsid w:val="00A44541"/>
    <w:rsid w:val="00A46CCB"/>
    <w:rsid w:val="00A475B0"/>
    <w:rsid w:val="00A500DF"/>
    <w:rsid w:val="00A57CEC"/>
    <w:rsid w:val="00A60529"/>
    <w:rsid w:val="00A64FC1"/>
    <w:rsid w:val="00A657BF"/>
    <w:rsid w:val="00A65D7D"/>
    <w:rsid w:val="00A66BD5"/>
    <w:rsid w:val="00A67963"/>
    <w:rsid w:val="00A77DA6"/>
    <w:rsid w:val="00A90E2E"/>
    <w:rsid w:val="00A945BD"/>
    <w:rsid w:val="00AA2A1E"/>
    <w:rsid w:val="00AB0022"/>
    <w:rsid w:val="00AB4C58"/>
    <w:rsid w:val="00AB5343"/>
    <w:rsid w:val="00AB66F5"/>
    <w:rsid w:val="00AC0B21"/>
    <w:rsid w:val="00AC4359"/>
    <w:rsid w:val="00AC5870"/>
    <w:rsid w:val="00AD14A7"/>
    <w:rsid w:val="00AD258A"/>
    <w:rsid w:val="00AD2B9D"/>
    <w:rsid w:val="00AE4812"/>
    <w:rsid w:val="00AE7171"/>
    <w:rsid w:val="00AE72F8"/>
    <w:rsid w:val="00AE7F79"/>
    <w:rsid w:val="00B00638"/>
    <w:rsid w:val="00B02A67"/>
    <w:rsid w:val="00B0399E"/>
    <w:rsid w:val="00B04BA5"/>
    <w:rsid w:val="00B0654D"/>
    <w:rsid w:val="00B075C3"/>
    <w:rsid w:val="00B13255"/>
    <w:rsid w:val="00B25813"/>
    <w:rsid w:val="00B3180B"/>
    <w:rsid w:val="00B36993"/>
    <w:rsid w:val="00B36F16"/>
    <w:rsid w:val="00B4172D"/>
    <w:rsid w:val="00B47EB7"/>
    <w:rsid w:val="00B5188F"/>
    <w:rsid w:val="00B61D3B"/>
    <w:rsid w:val="00B62652"/>
    <w:rsid w:val="00B63935"/>
    <w:rsid w:val="00B63E47"/>
    <w:rsid w:val="00B645D8"/>
    <w:rsid w:val="00B65325"/>
    <w:rsid w:val="00B656E0"/>
    <w:rsid w:val="00B726F2"/>
    <w:rsid w:val="00B72AC3"/>
    <w:rsid w:val="00B81AF1"/>
    <w:rsid w:val="00B83E9B"/>
    <w:rsid w:val="00B84FA2"/>
    <w:rsid w:val="00B84FF8"/>
    <w:rsid w:val="00B86B30"/>
    <w:rsid w:val="00B92DE6"/>
    <w:rsid w:val="00B933C1"/>
    <w:rsid w:val="00B97474"/>
    <w:rsid w:val="00BA01D0"/>
    <w:rsid w:val="00BA0756"/>
    <w:rsid w:val="00BA547A"/>
    <w:rsid w:val="00BB54E2"/>
    <w:rsid w:val="00BB623F"/>
    <w:rsid w:val="00BB7E03"/>
    <w:rsid w:val="00BC3B7C"/>
    <w:rsid w:val="00BC452C"/>
    <w:rsid w:val="00BC5F0B"/>
    <w:rsid w:val="00BD425B"/>
    <w:rsid w:val="00BE278F"/>
    <w:rsid w:val="00BE6025"/>
    <w:rsid w:val="00BF01E7"/>
    <w:rsid w:val="00BF0C13"/>
    <w:rsid w:val="00C02076"/>
    <w:rsid w:val="00C05576"/>
    <w:rsid w:val="00C06D51"/>
    <w:rsid w:val="00C10693"/>
    <w:rsid w:val="00C11C72"/>
    <w:rsid w:val="00C149B0"/>
    <w:rsid w:val="00C1519B"/>
    <w:rsid w:val="00C1583B"/>
    <w:rsid w:val="00C16B26"/>
    <w:rsid w:val="00C17F6F"/>
    <w:rsid w:val="00C23A11"/>
    <w:rsid w:val="00C25741"/>
    <w:rsid w:val="00C259ED"/>
    <w:rsid w:val="00C27382"/>
    <w:rsid w:val="00C34C90"/>
    <w:rsid w:val="00C41779"/>
    <w:rsid w:val="00C42D00"/>
    <w:rsid w:val="00C438E6"/>
    <w:rsid w:val="00C46D0A"/>
    <w:rsid w:val="00C51479"/>
    <w:rsid w:val="00C5377B"/>
    <w:rsid w:val="00C543A3"/>
    <w:rsid w:val="00C56133"/>
    <w:rsid w:val="00C572F0"/>
    <w:rsid w:val="00C63766"/>
    <w:rsid w:val="00C67C58"/>
    <w:rsid w:val="00C70C2E"/>
    <w:rsid w:val="00C71EAD"/>
    <w:rsid w:val="00C757EF"/>
    <w:rsid w:val="00C75AB7"/>
    <w:rsid w:val="00C80F80"/>
    <w:rsid w:val="00C81B12"/>
    <w:rsid w:val="00C8245A"/>
    <w:rsid w:val="00C86BEF"/>
    <w:rsid w:val="00C9056F"/>
    <w:rsid w:val="00C90EE6"/>
    <w:rsid w:val="00C93C99"/>
    <w:rsid w:val="00C94931"/>
    <w:rsid w:val="00C97C82"/>
    <w:rsid w:val="00CA1F6B"/>
    <w:rsid w:val="00CA3431"/>
    <w:rsid w:val="00CA4542"/>
    <w:rsid w:val="00CB1715"/>
    <w:rsid w:val="00CB5775"/>
    <w:rsid w:val="00CC19D6"/>
    <w:rsid w:val="00CD61B3"/>
    <w:rsid w:val="00CE0284"/>
    <w:rsid w:val="00CE216E"/>
    <w:rsid w:val="00CE436F"/>
    <w:rsid w:val="00CE46A7"/>
    <w:rsid w:val="00CE49B9"/>
    <w:rsid w:val="00CE50FB"/>
    <w:rsid w:val="00CE7E63"/>
    <w:rsid w:val="00CF0644"/>
    <w:rsid w:val="00D03966"/>
    <w:rsid w:val="00D0529E"/>
    <w:rsid w:val="00D118DA"/>
    <w:rsid w:val="00D14999"/>
    <w:rsid w:val="00D15C51"/>
    <w:rsid w:val="00D15CD1"/>
    <w:rsid w:val="00D16E3C"/>
    <w:rsid w:val="00D22F7E"/>
    <w:rsid w:val="00D2419C"/>
    <w:rsid w:val="00D31BD4"/>
    <w:rsid w:val="00D330DF"/>
    <w:rsid w:val="00D34F2F"/>
    <w:rsid w:val="00D35A85"/>
    <w:rsid w:val="00D41E04"/>
    <w:rsid w:val="00D43306"/>
    <w:rsid w:val="00D574D2"/>
    <w:rsid w:val="00D61932"/>
    <w:rsid w:val="00D65D5F"/>
    <w:rsid w:val="00D74E5F"/>
    <w:rsid w:val="00D772EF"/>
    <w:rsid w:val="00D869E3"/>
    <w:rsid w:val="00D934CC"/>
    <w:rsid w:val="00D9766D"/>
    <w:rsid w:val="00DA023C"/>
    <w:rsid w:val="00DA2410"/>
    <w:rsid w:val="00DA7CAB"/>
    <w:rsid w:val="00DB2FD1"/>
    <w:rsid w:val="00DB48DB"/>
    <w:rsid w:val="00DC3900"/>
    <w:rsid w:val="00DC51AF"/>
    <w:rsid w:val="00DC5ABB"/>
    <w:rsid w:val="00DD2775"/>
    <w:rsid w:val="00DD44D6"/>
    <w:rsid w:val="00DE31BC"/>
    <w:rsid w:val="00DE3B5A"/>
    <w:rsid w:val="00DF7443"/>
    <w:rsid w:val="00E005DB"/>
    <w:rsid w:val="00E06914"/>
    <w:rsid w:val="00E0794E"/>
    <w:rsid w:val="00E102CD"/>
    <w:rsid w:val="00E10A4E"/>
    <w:rsid w:val="00E15B42"/>
    <w:rsid w:val="00E168B4"/>
    <w:rsid w:val="00E22881"/>
    <w:rsid w:val="00E260FB"/>
    <w:rsid w:val="00E2794E"/>
    <w:rsid w:val="00E30D32"/>
    <w:rsid w:val="00E320D0"/>
    <w:rsid w:val="00E32F72"/>
    <w:rsid w:val="00E34B31"/>
    <w:rsid w:val="00E35A09"/>
    <w:rsid w:val="00E4159F"/>
    <w:rsid w:val="00E42645"/>
    <w:rsid w:val="00E43BEB"/>
    <w:rsid w:val="00E4470F"/>
    <w:rsid w:val="00E525DA"/>
    <w:rsid w:val="00E5304D"/>
    <w:rsid w:val="00E55826"/>
    <w:rsid w:val="00E62A25"/>
    <w:rsid w:val="00E64122"/>
    <w:rsid w:val="00E8288E"/>
    <w:rsid w:val="00E913D2"/>
    <w:rsid w:val="00E91843"/>
    <w:rsid w:val="00EA0DF6"/>
    <w:rsid w:val="00EA25C2"/>
    <w:rsid w:val="00EA43BE"/>
    <w:rsid w:val="00EA7055"/>
    <w:rsid w:val="00EB7492"/>
    <w:rsid w:val="00EC0016"/>
    <w:rsid w:val="00EC5956"/>
    <w:rsid w:val="00ED2B4C"/>
    <w:rsid w:val="00ED43EB"/>
    <w:rsid w:val="00EE17C6"/>
    <w:rsid w:val="00EE2B3A"/>
    <w:rsid w:val="00EF487D"/>
    <w:rsid w:val="00EF68D2"/>
    <w:rsid w:val="00F011F2"/>
    <w:rsid w:val="00F0320B"/>
    <w:rsid w:val="00F16D90"/>
    <w:rsid w:val="00F23251"/>
    <w:rsid w:val="00F23CF9"/>
    <w:rsid w:val="00F26073"/>
    <w:rsid w:val="00F26558"/>
    <w:rsid w:val="00F333AF"/>
    <w:rsid w:val="00F36682"/>
    <w:rsid w:val="00F37E91"/>
    <w:rsid w:val="00F4002E"/>
    <w:rsid w:val="00F40E99"/>
    <w:rsid w:val="00F424B3"/>
    <w:rsid w:val="00F53D5F"/>
    <w:rsid w:val="00F5650B"/>
    <w:rsid w:val="00F5735C"/>
    <w:rsid w:val="00F6558F"/>
    <w:rsid w:val="00F66774"/>
    <w:rsid w:val="00F67EAD"/>
    <w:rsid w:val="00F7197B"/>
    <w:rsid w:val="00F73ABB"/>
    <w:rsid w:val="00F74B57"/>
    <w:rsid w:val="00F7688F"/>
    <w:rsid w:val="00F83C82"/>
    <w:rsid w:val="00F92ED9"/>
    <w:rsid w:val="00FA17A3"/>
    <w:rsid w:val="00FB26E8"/>
    <w:rsid w:val="00FC2319"/>
    <w:rsid w:val="00FC3F97"/>
    <w:rsid w:val="00FD0E32"/>
    <w:rsid w:val="00FD7AEA"/>
    <w:rsid w:val="00FE069D"/>
    <w:rsid w:val="00FE0F46"/>
    <w:rsid w:val="00FE37B9"/>
    <w:rsid w:val="00FF1551"/>
    <w:rsid w:val="00FF2712"/>
    <w:rsid w:val="00FF7FCD"/>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4" fillcolor="#099" strokecolor="#9cf">
      <v:fill color="#099"/>
      <v:stroke color="#9cf"/>
      <o:colormru v:ext="edit" colors="#099"/>
    </o:shapedefaults>
    <o:shapelayout v:ext="edit">
      <o:idmap v:ext="edit" data="1"/>
    </o:shapelayout>
  </w:shapeDefaults>
  <w:doNotEmbedSmartTags/>
  <w:decimalSymbol w:val="."/>
  <w:listSeparator w:val=","/>
  <w14:docId w14:val="2B727AE6"/>
  <w15:docId w15:val="{C7B0ED89-CEB0-47A0-A2F9-B45E1857EE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Cambria" w:hAnsi="Cambria" w:cs="Times New Roman"/>
        <w:lang w:val="en-AU" w:eastAsia="en-A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75CA4"/>
    <w:pPr>
      <w:spacing w:after="200"/>
    </w:pPr>
    <w:rPr>
      <w:rFonts w:ascii="Segoe UI" w:hAnsi="Segoe UI"/>
      <w:sz w:val="24"/>
      <w:szCs w:val="24"/>
      <w:lang w:eastAsia="en-US"/>
    </w:rPr>
  </w:style>
  <w:style w:type="paragraph" w:styleId="Heading1">
    <w:name w:val="heading 1"/>
    <w:basedOn w:val="BodyText"/>
    <w:next w:val="Heading2"/>
    <w:qFormat/>
    <w:rsid w:val="00AC4359"/>
    <w:pPr>
      <w:keepNext/>
      <w:numPr>
        <w:numId w:val="1"/>
      </w:numPr>
      <w:spacing w:before="240"/>
      <w:outlineLvl w:val="0"/>
    </w:pPr>
    <w:rPr>
      <w:b/>
      <w:caps/>
      <w:sz w:val="32"/>
    </w:rPr>
  </w:style>
  <w:style w:type="paragraph" w:styleId="Heading2">
    <w:name w:val="heading 2"/>
    <w:basedOn w:val="Heading1"/>
    <w:next w:val="BodyText"/>
    <w:qFormat/>
    <w:rsid w:val="00AC4359"/>
    <w:pPr>
      <w:numPr>
        <w:ilvl w:val="1"/>
      </w:numPr>
      <w:outlineLvl w:val="1"/>
    </w:pPr>
    <w:rPr>
      <w:caps w:val="0"/>
      <w:smallCaps/>
      <w:sz w:val="28"/>
    </w:rPr>
  </w:style>
  <w:style w:type="paragraph" w:styleId="Heading3">
    <w:name w:val="heading 3"/>
    <w:basedOn w:val="Heading2"/>
    <w:next w:val="BodyText"/>
    <w:qFormat/>
    <w:rsid w:val="00AC4359"/>
    <w:pPr>
      <w:numPr>
        <w:ilvl w:val="2"/>
      </w:numPr>
      <w:outlineLvl w:val="2"/>
    </w:pPr>
    <w:rPr>
      <w:sz w:val="24"/>
    </w:rPr>
  </w:style>
  <w:style w:type="paragraph" w:styleId="Heading4">
    <w:name w:val="heading 4"/>
    <w:basedOn w:val="Normal"/>
    <w:next w:val="Normal"/>
    <w:link w:val="Heading4Char"/>
    <w:qFormat/>
    <w:rsid w:val="000575A7"/>
    <w:pPr>
      <w:keepNext/>
      <w:spacing w:before="240" w:after="60"/>
      <w:outlineLvl w:val="3"/>
    </w:pPr>
    <w:rPr>
      <w:rFonts w:ascii="Calibri" w:eastAsia="Times New Roman" w:hAnsi="Calibri"/>
      <w:b/>
      <w:bCs/>
      <w:sz w:val="28"/>
      <w:szCs w:val="28"/>
    </w:rPr>
  </w:style>
  <w:style w:type="paragraph" w:styleId="Heading5">
    <w:name w:val="heading 5"/>
    <w:basedOn w:val="Normal"/>
    <w:next w:val="Normal"/>
    <w:qFormat/>
    <w:rsid w:val="00AC4359"/>
    <w:pPr>
      <w:numPr>
        <w:ilvl w:val="4"/>
        <w:numId w:val="1"/>
      </w:numPr>
      <w:spacing w:before="240" w:after="0" w:line="280" w:lineRule="exact"/>
      <w:outlineLvl w:val="4"/>
    </w:pPr>
    <w:rPr>
      <w:rFonts w:ascii="Times New Roman" w:eastAsia="Times New Roman" w:hAnsi="Times New Roman"/>
      <w:i/>
      <w:lang w:val="en-GB"/>
    </w:rPr>
  </w:style>
  <w:style w:type="paragraph" w:styleId="Heading6">
    <w:name w:val="heading 6"/>
    <w:basedOn w:val="Normal"/>
    <w:next w:val="Normal"/>
    <w:qFormat/>
    <w:rsid w:val="00AC4359"/>
    <w:pPr>
      <w:numPr>
        <w:ilvl w:val="5"/>
        <w:numId w:val="1"/>
      </w:numPr>
      <w:spacing w:before="240" w:after="0" w:line="280" w:lineRule="exact"/>
      <w:outlineLvl w:val="5"/>
    </w:pPr>
    <w:rPr>
      <w:rFonts w:ascii="Times New Roman" w:eastAsia="Times New Roman" w:hAnsi="Times New Roman"/>
      <w:lang w:val="en-GB"/>
    </w:rPr>
  </w:style>
  <w:style w:type="paragraph" w:styleId="Heading7">
    <w:name w:val="heading 7"/>
    <w:basedOn w:val="Normal"/>
    <w:next w:val="Normal"/>
    <w:qFormat/>
    <w:rsid w:val="00AC4359"/>
    <w:pPr>
      <w:numPr>
        <w:ilvl w:val="6"/>
        <w:numId w:val="1"/>
      </w:numPr>
      <w:spacing w:before="240" w:after="0" w:line="280" w:lineRule="exact"/>
      <w:outlineLvl w:val="6"/>
    </w:pPr>
    <w:rPr>
      <w:rFonts w:ascii="Times New Roman" w:eastAsia="Times New Roman" w:hAnsi="Times New Roman"/>
      <w:b/>
      <w:lang w:val="en-GB"/>
    </w:rPr>
  </w:style>
  <w:style w:type="paragraph" w:styleId="Heading8">
    <w:name w:val="heading 8"/>
    <w:basedOn w:val="Normal"/>
    <w:next w:val="Normal"/>
    <w:qFormat/>
    <w:rsid w:val="00AC4359"/>
    <w:pPr>
      <w:numPr>
        <w:ilvl w:val="7"/>
        <w:numId w:val="1"/>
      </w:numPr>
      <w:spacing w:before="240" w:after="0" w:line="280" w:lineRule="exact"/>
      <w:outlineLvl w:val="7"/>
    </w:pPr>
    <w:rPr>
      <w:rFonts w:ascii="Times New Roman" w:eastAsia="Times New Roman" w:hAnsi="Times New Roman"/>
      <w:b/>
      <w:i/>
      <w:lang w:val="en-GB"/>
    </w:rPr>
  </w:style>
  <w:style w:type="paragraph" w:styleId="Heading9">
    <w:name w:val="heading 9"/>
    <w:basedOn w:val="Normal"/>
    <w:next w:val="Normal"/>
    <w:qFormat/>
    <w:rsid w:val="00AC4359"/>
    <w:pPr>
      <w:numPr>
        <w:ilvl w:val="8"/>
        <w:numId w:val="1"/>
      </w:numPr>
      <w:spacing w:before="240" w:after="0" w:line="280" w:lineRule="exact"/>
      <w:outlineLvl w:val="8"/>
    </w:pPr>
    <w:rPr>
      <w:rFonts w:ascii="Times New Roman" w:eastAsia="Times New Roman" w:hAnsi="Times New Roman"/>
      <w:b/>
      <w:i/>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lelandSubhead">
    <w:name w:val="Cleland Subhead"/>
    <w:basedOn w:val="Normal"/>
    <w:rsid w:val="0050593B"/>
    <w:pPr>
      <w:spacing w:line="360" w:lineRule="auto"/>
      <w:jc w:val="center"/>
    </w:pPr>
    <w:rPr>
      <w:rFonts w:ascii="Century Gothic" w:hAnsi="Century Gothic"/>
    </w:rPr>
  </w:style>
  <w:style w:type="paragraph" w:customStyle="1" w:styleId="CertificateBody">
    <w:name w:val="Certificate Body"/>
    <w:basedOn w:val="Normal"/>
    <w:autoRedefine/>
    <w:rsid w:val="00AA5299"/>
    <w:pPr>
      <w:widowControl w:val="0"/>
      <w:suppressAutoHyphens/>
      <w:autoSpaceDE w:val="0"/>
      <w:autoSpaceDN w:val="0"/>
      <w:adjustRightInd w:val="0"/>
      <w:spacing w:before="40" w:after="40" w:line="280" w:lineRule="exact"/>
      <w:jc w:val="right"/>
      <w:textAlignment w:val="center"/>
    </w:pPr>
    <w:rPr>
      <w:rFonts w:ascii="Century Gothic" w:hAnsi="Century Gothic"/>
      <w:color w:val="000000"/>
      <w:szCs w:val="30"/>
      <w:lang w:val="en-GB"/>
    </w:rPr>
  </w:style>
  <w:style w:type="paragraph" w:customStyle="1" w:styleId="BasicParagraph">
    <w:name w:val="[Basic Paragraph]"/>
    <w:basedOn w:val="Normal"/>
    <w:uiPriority w:val="99"/>
    <w:rsid w:val="00B5650C"/>
    <w:pPr>
      <w:widowControl w:val="0"/>
      <w:autoSpaceDE w:val="0"/>
      <w:autoSpaceDN w:val="0"/>
      <w:adjustRightInd w:val="0"/>
      <w:spacing w:after="0" w:line="288" w:lineRule="auto"/>
      <w:textAlignment w:val="center"/>
    </w:pPr>
    <w:rPr>
      <w:rFonts w:ascii="Times-Roman" w:hAnsi="Times-Roman" w:cs="Times-Roman"/>
      <w:color w:val="000000"/>
      <w:lang w:val="en-US"/>
    </w:rPr>
  </w:style>
  <w:style w:type="paragraph" w:customStyle="1" w:styleId="TitleStyle">
    <w:name w:val="Title Style"/>
    <w:basedOn w:val="Normal"/>
    <w:uiPriority w:val="99"/>
    <w:rsid w:val="00775CA4"/>
    <w:pPr>
      <w:widowControl w:val="0"/>
      <w:autoSpaceDE w:val="0"/>
      <w:autoSpaceDN w:val="0"/>
      <w:adjustRightInd w:val="0"/>
      <w:spacing w:after="0" w:line="600" w:lineRule="atLeast"/>
      <w:textAlignment w:val="center"/>
    </w:pPr>
    <w:rPr>
      <w:rFonts w:ascii="Segoe UI Semibold" w:hAnsi="Segoe UI Semibold" w:cs="AvantGardeITCbyBT-Demi"/>
      <w:caps/>
      <w:color w:val="FFFFFF"/>
      <w:spacing w:val="-15"/>
      <w:sz w:val="74"/>
      <w:szCs w:val="74"/>
      <w:lang w:val="en-US"/>
    </w:rPr>
  </w:style>
  <w:style w:type="paragraph" w:customStyle="1" w:styleId="CoverWebAddress">
    <w:name w:val="Cover Web Address"/>
    <w:basedOn w:val="Normal"/>
    <w:uiPriority w:val="99"/>
    <w:rsid w:val="00992007"/>
    <w:pPr>
      <w:widowControl w:val="0"/>
      <w:suppressAutoHyphens/>
      <w:autoSpaceDE w:val="0"/>
      <w:autoSpaceDN w:val="0"/>
      <w:adjustRightInd w:val="0"/>
      <w:spacing w:after="57" w:line="250" w:lineRule="atLeast"/>
      <w:jc w:val="right"/>
      <w:textAlignment w:val="center"/>
    </w:pPr>
    <w:rPr>
      <w:rFonts w:ascii="CenturyGothic" w:hAnsi="CenturyGothic" w:cs="CenturyGothic"/>
      <w:color w:val="4B721C"/>
      <w:sz w:val="25"/>
      <w:szCs w:val="25"/>
      <w:lang w:val="en-GB"/>
    </w:rPr>
  </w:style>
  <w:style w:type="character" w:customStyle="1" w:styleId="PMS581">
    <w:name w:val="PMS 581"/>
    <w:uiPriority w:val="99"/>
    <w:rsid w:val="00992007"/>
    <w:rPr>
      <w:color w:val="4B721C"/>
    </w:rPr>
  </w:style>
  <w:style w:type="paragraph" w:customStyle="1" w:styleId="VersionNumber">
    <w:name w:val="Version Number"/>
    <w:basedOn w:val="VersionDate"/>
    <w:next w:val="Disclaimer"/>
    <w:rsid w:val="00AC4359"/>
    <w:pPr>
      <w:spacing w:after="960"/>
    </w:pPr>
    <w:rPr>
      <w:szCs w:val="28"/>
    </w:rPr>
  </w:style>
  <w:style w:type="paragraph" w:customStyle="1" w:styleId="VersionDate">
    <w:name w:val="Version Date"/>
    <w:basedOn w:val="Branch"/>
    <w:next w:val="VersionNumber"/>
    <w:rsid w:val="00AC4359"/>
  </w:style>
  <w:style w:type="paragraph" w:styleId="BodyText">
    <w:name w:val="Body Text"/>
    <w:basedOn w:val="Normal"/>
    <w:link w:val="BodyTextChar"/>
    <w:rsid w:val="00775CA4"/>
    <w:pPr>
      <w:spacing w:before="120" w:after="120"/>
      <w:ind w:left="1080"/>
    </w:pPr>
    <w:rPr>
      <w:rFonts w:eastAsia="Times New Roman"/>
      <w:sz w:val="20"/>
      <w:lang w:val="en-GB"/>
    </w:rPr>
  </w:style>
  <w:style w:type="paragraph" w:customStyle="1" w:styleId="Directorate">
    <w:name w:val="Directorate"/>
    <w:basedOn w:val="BodyText"/>
    <w:next w:val="Branch"/>
    <w:rsid w:val="00AC4359"/>
    <w:pPr>
      <w:spacing w:before="3600" w:after="0"/>
      <w:jc w:val="right"/>
    </w:pPr>
    <w:rPr>
      <w:b/>
    </w:rPr>
  </w:style>
  <w:style w:type="paragraph" w:customStyle="1" w:styleId="Branch">
    <w:name w:val="Branch"/>
    <w:basedOn w:val="Directorate"/>
    <w:next w:val="VersionDate"/>
    <w:rsid w:val="00AC4359"/>
    <w:pPr>
      <w:spacing w:before="0"/>
    </w:pPr>
  </w:style>
  <w:style w:type="paragraph" w:customStyle="1" w:styleId="Disclaimer">
    <w:name w:val="Disclaimer"/>
    <w:basedOn w:val="BodyText"/>
    <w:rsid w:val="00AC4359"/>
    <w:rPr>
      <w:sz w:val="16"/>
    </w:rPr>
  </w:style>
  <w:style w:type="paragraph" w:customStyle="1" w:styleId="DocumentHistory">
    <w:name w:val="Document History"/>
    <w:basedOn w:val="BodyText"/>
    <w:next w:val="DocumentHistory2"/>
    <w:rsid w:val="00AC4359"/>
    <w:pPr>
      <w:pageBreakBefore/>
      <w:spacing w:before="240"/>
      <w:ind w:left="0"/>
      <w:jc w:val="center"/>
    </w:pPr>
    <w:rPr>
      <w:b/>
      <w:caps/>
      <w:sz w:val="32"/>
      <w:szCs w:val="30"/>
    </w:rPr>
  </w:style>
  <w:style w:type="paragraph" w:customStyle="1" w:styleId="DocumentHistory2">
    <w:name w:val="Document History 2"/>
    <w:basedOn w:val="DocumentHistory"/>
    <w:rsid w:val="00AC4359"/>
    <w:pPr>
      <w:pageBreakBefore w:val="0"/>
      <w:jc w:val="left"/>
    </w:pPr>
    <w:rPr>
      <w:caps w:val="0"/>
      <w:sz w:val="24"/>
    </w:rPr>
  </w:style>
  <w:style w:type="paragraph" w:styleId="Footer">
    <w:name w:val="footer"/>
    <w:basedOn w:val="BodyText"/>
    <w:link w:val="FooterChar"/>
    <w:uiPriority w:val="99"/>
    <w:rsid w:val="009C113A"/>
    <w:pPr>
      <w:tabs>
        <w:tab w:val="center" w:pos="5040"/>
        <w:tab w:val="right" w:pos="9720"/>
      </w:tabs>
      <w:spacing w:before="360" w:after="240"/>
      <w:ind w:left="0"/>
    </w:pPr>
    <w:rPr>
      <w:sz w:val="16"/>
      <w:szCs w:val="16"/>
    </w:rPr>
  </w:style>
  <w:style w:type="paragraph" w:styleId="Header">
    <w:name w:val="header"/>
    <w:basedOn w:val="Footer"/>
    <w:link w:val="HeaderChar"/>
    <w:uiPriority w:val="99"/>
    <w:rsid w:val="00AC4359"/>
    <w:pPr>
      <w:pBdr>
        <w:bottom w:val="single" w:sz="4" w:space="1" w:color="auto"/>
      </w:pBdr>
      <w:tabs>
        <w:tab w:val="clear" w:pos="5040"/>
      </w:tabs>
      <w:spacing w:before="240" w:after="360"/>
    </w:pPr>
  </w:style>
  <w:style w:type="paragraph" w:customStyle="1" w:styleId="TableText">
    <w:name w:val="Table Text"/>
    <w:basedOn w:val="TableHeading"/>
    <w:rsid w:val="00AC4359"/>
    <w:pPr>
      <w:keepNext w:val="0"/>
    </w:pPr>
    <w:rPr>
      <w:b w:val="0"/>
    </w:rPr>
  </w:style>
  <w:style w:type="paragraph" w:customStyle="1" w:styleId="TableHeading">
    <w:name w:val="Table Heading"/>
    <w:basedOn w:val="BodyText"/>
    <w:next w:val="TableText"/>
    <w:rsid w:val="00AC4359"/>
    <w:pPr>
      <w:keepNext/>
      <w:spacing w:before="60" w:after="60"/>
      <w:ind w:left="0"/>
    </w:pPr>
    <w:rPr>
      <w:b/>
    </w:rPr>
  </w:style>
  <w:style w:type="paragraph" w:customStyle="1" w:styleId="Title2">
    <w:name w:val="Title 2"/>
    <w:basedOn w:val="Title"/>
    <w:next w:val="Directorate"/>
    <w:rsid w:val="00AC4359"/>
    <w:pPr>
      <w:pBdr>
        <w:top w:val="none" w:sz="0" w:space="0" w:color="auto"/>
        <w:bottom w:val="single" w:sz="6" w:space="1" w:color="auto"/>
      </w:pBdr>
      <w:spacing w:before="0"/>
    </w:pPr>
    <w:rPr>
      <w:szCs w:val="52"/>
    </w:rPr>
  </w:style>
  <w:style w:type="paragraph" w:styleId="Title">
    <w:name w:val="Title"/>
    <w:basedOn w:val="BodyText"/>
    <w:next w:val="Title2"/>
    <w:qFormat/>
    <w:rsid w:val="00AC4359"/>
    <w:pPr>
      <w:pBdr>
        <w:top w:val="single" w:sz="6" w:space="1" w:color="auto"/>
      </w:pBdr>
      <w:spacing w:before="4560" w:after="240"/>
      <w:ind w:left="0"/>
      <w:jc w:val="center"/>
    </w:pPr>
    <w:rPr>
      <w:b/>
      <w:color w:val="808000"/>
      <w:sz w:val="52"/>
    </w:rPr>
  </w:style>
  <w:style w:type="paragraph" w:customStyle="1" w:styleId="TOCHeading1">
    <w:name w:val="TOC Heading1"/>
    <w:basedOn w:val="DocumentHistory"/>
    <w:next w:val="TOC1"/>
    <w:qFormat/>
    <w:rsid w:val="00AC4359"/>
  </w:style>
  <w:style w:type="paragraph" w:styleId="TOC1">
    <w:name w:val="toc 1"/>
    <w:basedOn w:val="BodyText"/>
    <w:uiPriority w:val="39"/>
    <w:rsid w:val="00AC4359"/>
    <w:pPr>
      <w:tabs>
        <w:tab w:val="left" w:pos="360"/>
        <w:tab w:val="right" w:leader="dot" w:pos="9739"/>
      </w:tabs>
      <w:spacing w:after="0"/>
      <w:ind w:left="360" w:hanging="360"/>
    </w:pPr>
    <w:rPr>
      <w:b/>
      <w:bCs/>
      <w:caps/>
    </w:rPr>
  </w:style>
  <w:style w:type="character" w:styleId="Hyperlink">
    <w:name w:val="Hyperlink"/>
    <w:uiPriority w:val="99"/>
    <w:rsid w:val="00775CA4"/>
    <w:rPr>
      <w:rFonts w:ascii="Segoe UI" w:hAnsi="Segoe UI"/>
      <w:color w:val="0000FF"/>
      <w:sz w:val="20"/>
      <w:u w:val="single"/>
    </w:rPr>
  </w:style>
  <w:style w:type="character" w:customStyle="1" w:styleId="BodyTextChar">
    <w:name w:val="Body Text Char"/>
    <w:link w:val="BodyText"/>
    <w:rsid w:val="00775CA4"/>
    <w:rPr>
      <w:rFonts w:ascii="Segoe UI" w:eastAsia="Times New Roman" w:hAnsi="Segoe UI"/>
      <w:szCs w:val="24"/>
      <w:lang w:val="en-GB" w:eastAsia="en-US"/>
    </w:rPr>
  </w:style>
  <w:style w:type="paragraph" w:styleId="BodyText2">
    <w:name w:val="Body Text 2"/>
    <w:basedOn w:val="BodyText"/>
    <w:rsid w:val="00AC4359"/>
    <w:pPr>
      <w:spacing w:before="0"/>
      <w:ind w:left="274"/>
    </w:pPr>
  </w:style>
  <w:style w:type="paragraph" w:customStyle="1" w:styleId="HeaderFistPage">
    <w:name w:val="Header Fist Page"/>
    <w:basedOn w:val="Header"/>
    <w:rsid w:val="00AC4359"/>
    <w:pPr>
      <w:pBdr>
        <w:bottom w:val="none" w:sz="0" w:space="0" w:color="auto"/>
      </w:pBdr>
    </w:pPr>
  </w:style>
  <w:style w:type="paragraph" w:customStyle="1" w:styleId="FooterFirstPage">
    <w:name w:val="Footer First Page"/>
    <w:basedOn w:val="Footer"/>
    <w:rsid w:val="00AC4359"/>
    <w:pPr>
      <w:tabs>
        <w:tab w:val="clear" w:pos="5040"/>
      </w:tabs>
    </w:pPr>
  </w:style>
  <w:style w:type="paragraph" w:customStyle="1" w:styleId="ListBullet1">
    <w:name w:val="List Bullet 1"/>
    <w:basedOn w:val="BodyText"/>
    <w:rsid w:val="00AC4359"/>
    <w:pPr>
      <w:numPr>
        <w:numId w:val="2"/>
      </w:numPr>
      <w:spacing w:before="60" w:after="60"/>
    </w:pPr>
  </w:style>
  <w:style w:type="paragraph" w:customStyle="1" w:styleId="TableBullet">
    <w:name w:val="Table Bullet"/>
    <w:basedOn w:val="TableText"/>
    <w:rsid w:val="00AC4359"/>
    <w:pPr>
      <w:numPr>
        <w:numId w:val="3"/>
      </w:numPr>
      <w:outlineLvl w:val="1"/>
    </w:pPr>
  </w:style>
  <w:style w:type="table" w:styleId="TableGrid">
    <w:name w:val="Table Grid"/>
    <w:basedOn w:val="TableNormal"/>
    <w:uiPriority w:val="59"/>
    <w:rsid w:val="00AC4359"/>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ageNumber">
    <w:name w:val="page number"/>
    <w:basedOn w:val="DefaultParagraphFont"/>
    <w:rsid w:val="00A77DA6"/>
  </w:style>
  <w:style w:type="paragraph" w:styleId="Caption">
    <w:name w:val="caption"/>
    <w:basedOn w:val="BodyText"/>
    <w:next w:val="BodyText"/>
    <w:uiPriority w:val="35"/>
    <w:qFormat/>
    <w:rsid w:val="00753219"/>
    <w:pPr>
      <w:jc w:val="center"/>
    </w:pPr>
    <w:rPr>
      <w:szCs w:val="20"/>
      <w:lang w:eastAsia="en-AU"/>
    </w:rPr>
  </w:style>
  <w:style w:type="paragraph" w:styleId="TOC2">
    <w:name w:val="toc 2"/>
    <w:basedOn w:val="Normal"/>
    <w:next w:val="Normal"/>
    <w:autoRedefine/>
    <w:uiPriority w:val="39"/>
    <w:rsid w:val="00753219"/>
    <w:pPr>
      <w:ind w:left="240"/>
    </w:pPr>
  </w:style>
  <w:style w:type="numbering" w:styleId="111111">
    <w:name w:val="Outline List 2"/>
    <w:basedOn w:val="NoList"/>
    <w:semiHidden/>
    <w:rsid w:val="006E6426"/>
    <w:pPr>
      <w:numPr>
        <w:numId w:val="4"/>
      </w:numPr>
    </w:pPr>
  </w:style>
  <w:style w:type="character" w:customStyle="1" w:styleId="CharChar">
    <w:name w:val="Char Char"/>
    <w:rsid w:val="00B72AC3"/>
    <w:rPr>
      <w:rFonts w:ascii="Century Gothic" w:hAnsi="Century Gothic"/>
      <w:szCs w:val="24"/>
      <w:lang w:val="en-GB" w:eastAsia="en-US" w:bidi="ar-SA"/>
    </w:rPr>
  </w:style>
  <w:style w:type="character" w:styleId="FollowedHyperlink">
    <w:name w:val="FollowedHyperlink"/>
    <w:rsid w:val="00E102CD"/>
    <w:rPr>
      <w:color w:val="800080"/>
      <w:u w:val="single"/>
    </w:rPr>
  </w:style>
  <w:style w:type="paragraph" w:customStyle="1" w:styleId="StyleTableHeading105pt">
    <w:name w:val="Style Table Heading + 10.5 pt"/>
    <w:basedOn w:val="TableHeading"/>
    <w:rsid w:val="00775CA4"/>
    <w:rPr>
      <w:bCs/>
    </w:rPr>
  </w:style>
  <w:style w:type="character" w:customStyle="1" w:styleId="FooterChar">
    <w:name w:val="Footer Char"/>
    <w:link w:val="Footer"/>
    <w:uiPriority w:val="99"/>
    <w:rsid w:val="009C113A"/>
    <w:rPr>
      <w:rFonts w:ascii="Segoe UI" w:eastAsia="Times New Roman" w:hAnsi="Segoe UI"/>
      <w:sz w:val="16"/>
      <w:szCs w:val="16"/>
      <w:lang w:val="en-GB" w:eastAsia="en-US"/>
    </w:rPr>
  </w:style>
  <w:style w:type="paragraph" w:customStyle="1" w:styleId="StyleTitleStyleLatinCenturyGothic32ptCustomColorRGB">
    <w:name w:val="Style Title Style + (Latin) Century Gothic 32 pt Custom Color(RGB..."/>
    <w:basedOn w:val="TitleStyle"/>
    <w:rsid w:val="00B00638"/>
    <w:rPr>
      <w:rFonts w:ascii="Segoe UI" w:hAnsi="Segoe UI"/>
      <w:caps w:val="0"/>
      <w:color w:val="44546A"/>
      <w:spacing w:val="-22"/>
      <w:sz w:val="64"/>
    </w:rPr>
  </w:style>
  <w:style w:type="paragraph" w:customStyle="1" w:styleId="StyleBasicParagraphLatinVerdana16ptCustomColorRGB">
    <w:name w:val="Style [Basic Paragraph] + (Latin) Verdana 16 pt Custom Color(RGB(..."/>
    <w:basedOn w:val="BasicParagraph"/>
    <w:rsid w:val="009C113A"/>
    <w:rPr>
      <w:rFonts w:ascii="Verdana" w:hAnsi="Verdana"/>
      <w:color w:val="44546A"/>
      <w:spacing w:val="-22"/>
      <w:sz w:val="32"/>
    </w:rPr>
  </w:style>
  <w:style w:type="character" w:customStyle="1" w:styleId="HeaderChar">
    <w:name w:val="Header Char"/>
    <w:link w:val="Header"/>
    <w:uiPriority w:val="99"/>
    <w:rsid w:val="004B213F"/>
    <w:rPr>
      <w:rFonts w:ascii="Segoe UI" w:eastAsia="Times New Roman" w:hAnsi="Segoe UI"/>
      <w:sz w:val="16"/>
      <w:szCs w:val="16"/>
      <w:lang w:val="en-GB" w:eastAsia="en-US"/>
    </w:rPr>
  </w:style>
  <w:style w:type="paragraph" w:styleId="BalloonText">
    <w:name w:val="Balloon Text"/>
    <w:basedOn w:val="Normal"/>
    <w:link w:val="BalloonTextChar"/>
    <w:rsid w:val="00DE31BC"/>
    <w:pPr>
      <w:spacing w:after="0"/>
    </w:pPr>
    <w:rPr>
      <w:sz w:val="18"/>
      <w:szCs w:val="18"/>
    </w:rPr>
  </w:style>
  <w:style w:type="character" w:customStyle="1" w:styleId="BalloonTextChar">
    <w:name w:val="Balloon Text Char"/>
    <w:link w:val="BalloonText"/>
    <w:rsid w:val="00DE31BC"/>
    <w:rPr>
      <w:rFonts w:ascii="Segoe UI" w:hAnsi="Segoe UI" w:cs="Segoe UI"/>
      <w:sz w:val="18"/>
      <w:szCs w:val="18"/>
      <w:lang w:eastAsia="en-US"/>
    </w:rPr>
  </w:style>
  <w:style w:type="paragraph" w:customStyle="1" w:styleId="ColorfulList-Accent11">
    <w:name w:val="Colorful List - Accent 11"/>
    <w:basedOn w:val="Normal"/>
    <w:uiPriority w:val="34"/>
    <w:qFormat/>
    <w:rsid w:val="00F23251"/>
    <w:pPr>
      <w:ind w:left="720"/>
      <w:contextualSpacing/>
    </w:pPr>
    <w:rPr>
      <w:rFonts w:ascii="Century Gothic" w:hAnsi="Century Gothic"/>
      <w:sz w:val="20"/>
    </w:rPr>
  </w:style>
  <w:style w:type="character" w:customStyle="1" w:styleId="Heading4Char">
    <w:name w:val="Heading 4 Char"/>
    <w:link w:val="Heading4"/>
    <w:semiHidden/>
    <w:rsid w:val="000575A7"/>
    <w:rPr>
      <w:rFonts w:ascii="Calibri" w:eastAsia="Times New Roman" w:hAnsi="Calibri" w:cs="Times New Roman"/>
      <w:b/>
      <w:bCs/>
      <w:sz w:val="28"/>
      <w:szCs w:val="28"/>
      <w:lang w:eastAsia="en-US"/>
    </w:rPr>
  </w:style>
  <w:style w:type="paragraph" w:customStyle="1" w:styleId="ColorfulShading-Accent11">
    <w:name w:val="Colorful Shading - Accent 11"/>
    <w:hidden/>
    <w:uiPriority w:val="99"/>
    <w:semiHidden/>
    <w:rsid w:val="00FF2712"/>
    <w:rPr>
      <w:rFonts w:ascii="Segoe UI" w:hAnsi="Segoe UI"/>
      <w:sz w:val="24"/>
      <w:szCs w:val="24"/>
      <w:lang w:eastAsia="en-US"/>
    </w:rPr>
  </w:style>
  <w:style w:type="paragraph" w:customStyle="1" w:styleId="Default">
    <w:name w:val="Default"/>
    <w:rsid w:val="009F1210"/>
    <w:pPr>
      <w:autoSpaceDE w:val="0"/>
      <w:autoSpaceDN w:val="0"/>
      <w:adjustRightInd w:val="0"/>
    </w:pPr>
    <w:rPr>
      <w:rFonts w:ascii="Frutiger LT Com 45 Light" w:hAnsi="Frutiger LT Com 45 Light" w:cs="Frutiger LT Com 45 Light"/>
      <w:color w:val="000000"/>
      <w:sz w:val="24"/>
      <w:szCs w:val="24"/>
    </w:rPr>
  </w:style>
  <w:style w:type="character" w:styleId="CommentReference">
    <w:name w:val="annotation reference"/>
    <w:uiPriority w:val="99"/>
    <w:rsid w:val="003433A4"/>
    <w:rPr>
      <w:sz w:val="16"/>
      <w:szCs w:val="16"/>
    </w:rPr>
  </w:style>
  <w:style w:type="paragraph" w:styleId="CommentText">
    <w:name w:val="annotation text"/>
    <w:basedOn w:val="Normal"/>
    <w:link w:val="CommentTextChar"/>
    <w:uiPriority w:val="99"/>
    <w:rsid w:val="003433A4"/>
    <w:rPr>
      <w:sz w:val="20"/>
      <w:szCs w:val="20"/>
    </w:rPr>
  </w:style>
  <w:style w:type="character" w:customStyle="1" w:styleId="CommentTextChar">
    <w:name w:val="Comment Text Char"/>
    <w:link w:val="CommentText"/>
    <w:uiPriority w:val="99"/>
    <w:rsid w:val="003433A4"/>
    <w:rPr>
      <w:rFonts w:ascii="Segoe UI" w:hAnsi="Segoe UI"/>
      <w:lang w:eastAsia="en-US"/>
    </w:rPr>
  </w:style>
  <w:style w:type="paragraph" w:styleId="CommentSubject">
    <w:name w:val="annotation subject"/>
    <w:basedOn w:val="CommentText"/>
    <w:next w:val="CommentText"/>
    <w:link w:val="CommentSubjectChar"/>
    <w:rsid w:val="003433A4"/>
    <w:rPr>
      <w:b/>
      <w:bCs/>
    </w:rPr>
  </w:style>
  <w:style w:type="character" w:customStyle="1" w:styleId="CommentSubjectChar">
    <w:name w:val="Comment Subject Char"/>
    <w:link w:val="CommentSubject"/>
    <w:rsid w:val="003433A4"/>
    <w:rPr>
      <w:rFonts w:ascii="Segoe UI" w:hAnsi="Segoe UI"/>
      <w:b/>
      <w:bCs/>
      <w:lang w:eastAsia="en-US"/>
    </w:rPr>
  </w:style>
  <w:style w:type="paragraph" w:styleId="EndnoteText">
    <w:name w:val="endnote text"/>
    <w:basedOn w:val="Normal"/>
    <w:link w:val="EndnoteTextChar"/>
    <w:rsid w:val="009055BC"/>
    <w:pPr>
      <w:spacing w:after="0"/>
    </w:pPr>
    <w:rPr>
      <w:sz w:val="20"/>
      <w:szCs w:val="20"/>
    </w:rPr>
  </w:style>
  <w:style w:type="character" w:customStyle="1" w:styleId="EndnoteTextChar">
    <w:name w:val="Endnote Text Char"/>
    <w:basedOn w:val="DefaultParagraphFont"/>
    <w:link w:val="EndnoteText"/>
    <w:rsid w:val="009055BC"/>
    <w:rPr>
      <w:rFonts w:ascii="Segoe UI" w:hAnsi="Segoe UI"/>
      <w:lang w:eastAsia="en-US"/>
    </w:rPr>
  </w:style>
  <w:style w:type="character" w:styleId="EndnoteReference">
    <w:name w:val="endnote reference"/>
    <w:basedOn w:val="DefaultParagraphFont"/>
    <w:rsid w:val="009055BC"/>
    <w:rPr>
      <w:vertAlign w:val="superscript"/>
    </w:rPr>
  </w:style>
  <w:style w:type="paragraph" w:styleId="FootnoteText">
    <w:name w:val="footnote text"/>
    <w:basedOn w:val="Normal"/>
    <w:link w:val="FootnoteTextChar"/>
    <w:rsid w:val="009055BC"/>
    <w:pPr>
      <w:spacing w:after="0"/>
    </w:pPr>
    <w:rPr>
      <w:sz w:val="20"/>
      <w:szCs w:val="20"/>
    </w:rPr>
  </w:style>
  <w:style w:type="character" w:customStyle="1" w:styleId="FootnoteTextChar">
    <w:name w:val="Footnote Text Char"/>
    <w:basedOn w:val="DefaultParagraphFont"/>
    <w:link w:val="FootnoteText"/>
    <w:rsid w:val="009055BC"/>
    <w:rPr>
      <w:rFonts w:ascii="Segoe UI" w:hAnsi="Segoe UI"/>
      <w:lang w:eastAsia="en-US"/>
    </w:rPr>
  </w:style>
  <w:style w:type="character" w:styleId="FootnoteReference">
    <w:name w:val="footnote reference"/>
    <w:basedOn w:val="DefaultParagraphFont"/>
    <w:rsid w:val="009055BC"/>
    <w:rPr>
      <w:vertAlign w:val="superscript"/>
    </w:rPr>
  </w:style>
  <w:style w:type="paragraph" w:styleId="ListParagraph">
    <w:name w:val="List Paragraph"/>
    <w:basedOn w:val="Normal"/>
    <w:uiPriority w:val="34"/>
    <w:qFormat/>
    <w:rsid w:val="00A04862"/>
    <w:pPr>
      <w:spacing w:after="160" w:line="259" w:lineRule="auto"/>
      <w:ind w:left="720"/>
      <w:contextualSpacing/>
    </w:pPr>
    <w:rPr>
      <w:rFonts w:asciiTheme="minorHAnsi" w:eastAsiaTheme="minorHAnsi" w:hAnsiTheme="minorHAnsi" w:cstheme="minorBidi"/>
      <w:sz w:val="22"/>
      <w:szCs w:val="22"/>
    </w:rPr>
  </w:style>
  <w:style w:type="paragraph" w:styleId="TOC3">
    <w:name w:val="toc 3"/>
    <w:basedOn w:val="Normal"/>
    <w:next w:val="Normal"/>
    <w:autoRedefine/>
    <w:uiPriority w:val="39"/>
    <w:unhideWhenUsed/>
    <w:rsid w:val="005C38F0"/>
    <w:pPr>
      <w:spacing w:after="100"/>
      <w:ind w:left="480"/>
    </w:pPr>
  </w:style>
  <w:style w:type="paragraph" w:styleId="TOC7">
    <w:name w:val="toc 7"/>
    <w:basedOn w:val="Normal"/>
    <w:next w:val="Normal"/>
    <w:autoRedefine/>
    <w:semiHidden/>
    <w:unhideWhenUsed/>
    <w:rsid w:val="005C38F0"/>
    <w:pPr>
      <w:spacing w:after="100"/>
      <w:ind w:left="1440"/>
    </w:pPr>
  </w:style>
  <w:style w:type="paragraph" w:customStyle="1" w:styleId="Reporttext">
    <w:name w:val="Report text"/>
    <w:link w:val="ReporttextChar"/>
    <w:uiPriority w:val="99"/>
    <w:qFormat/>
    <w:rsid w:val="001A6BA8"/>
    <w:pPr>
      <w:spacing w:before="120" w:after="20" w:line="280" w:lineRule="atLeast"/>
      <w:jc w:val="both"/>
    </w:pPr>
    <w:rPr>
      <w:rFonts w:ascii="Calibri" w:eastAsia="Times New Roman" w:hAnsi="Calibri"/>
      <w:color w:val="404040" w:themeColor="text1" w:themeTint="BF"/>
      <w:sz w:val="22"/>
      <w:lang w:eastAsia="en-US"/>
    </w:rPr>
  </w:style>
  <w:style w:type="character" w:customStyle="1" w:styleId="ReporttextChar">
    <w:name w:val="Report text Char"/>
    <w:basedOn w:val="DefaultParagraphFont"/>
    <w:link w:val="Reporttext"/>
    <w:uiPriority w:val="99"/>
    <w:locked/>
    <w:rsid w:val="001A6BA8"/>
    <w:rPr>
      <w:rFonts w:ascii="Calibri" w:eastAsia="Times New Roman" w:hAnsi="Calibri"/>
      <w:color w:val="404040" w:themeColor="text1" w:themeTint="BF"/>
      <w:sz w:val="22"/>
      <w:lang w:eastAsia="en-US"/>
    </w:rPr>
  </w:style>
  <w:style w:type="paragraph" w:customStyle="1" w:styleId="Tabletext0">
    <w:name w:val="Table text"/>
    <w:uiPriority w:val="99"/>
    <w:qFormat/>
    <w:rsid w:val="001A6BA8"/>
    <w:pPr>
      <w:spacing w:before="20" w:after="20"/>
    </w:pPr>
    <w:rPr>
      <w:rFonts w:ascii="Calibri" w:eastAsia="Calibri" w:hAnsi="Calibri"/>
      <w:color w:val="404040" w:themeColor="text1" w:themeTint="BF"/>
      <w:sz w:val="18"/>
      <w:szCs w:val="16"/>
    </w:rPr>
  </w:style>
  <w:style w:type="paragraph" w:customStyle="1" w:styleId="Informationpage">
    <w:name w:val="Information page"/>
    <w:rsid w:val="001A6BA8"/>
    <w:pPr>
      <w:spacing w:before="20" w:after="20" w:line="280" w:lineRule="atLeast"/>
      <w:jc w:val="both"/>
    </w:pPr>
    <w:rPr>
      <w:rFonts w:ascii="Calibri" w:eastAsia="Times New Roman" w:hAnsi="Calibri"/>
      <w:color w:val="404040" w:themeColor="text1" w:themeTint="BF"/>
      <w:lang w:eastAsia="en-US"/>
    </w:rPr>
  </w:style>
  <w:style w:type="paragraph" w:customStyle="1" w:styleId="Reference">
    <w:name w:val="Reference"/>
    <w:uiPriority w:val="99"/>
    <w:rsid w:val="001A6BA8"/>
    <w:pPr>
      <w:spacing w:before="120" w:line="280" w:lineRule="atLeast"/>
    </w:pPr>
    <w:rPr>
      <w:rFonts w:ascii="Calibri" w:eastAsia="Times New Roman" w:hAnsi="Calibri"/>
      <w:color w:val="404040" w:themeColor="text1" w:themeTint="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1363579">
      <w:bodyDiv w:val="1"/>
      <w:marLeft w:val="0"/>
      <w:marRight w:val="0"/>
      <w:marTop w:val="0"/>
      <w:marBottom w:val="0"/>
      <w:divBdr>
        <w:top w:val="none" w:sz="0" w:space="0" w:color="auto"/>
        <w:left w:val="none" w:sz="0" w:space="0" w:color="auto"/>
        <w:bottom w:val="none" w:sz="0" w:space="0" w:color="auto"/>
        <w:right w:val="none" w:sz="0" w:space="0" w:color="auto"/>
      </w:divBdr>
    </w:div>
    <w:div w:id="165093398">
      <w:bodyDiv w:val="1"/>
      <w:marLeft w:val="0"/>
      <w:marRight w:val="0"/>
      <w:marTop w:val="0"/>
      <w:marBottom w:val="0"/>
      <w:divBdr>
        <w:top w:val="none" w:sz="0" w:space="0" w:color="auto"/>
        <w:left w:val="none" w:sz="0" w:space="0" w:color="auto"/>
        <w:bottom w:val="none" w:sz="0" w:space="0" w:color="auto"/>
        <w:right w:val="none" w:sz="0" w:space="0" w:color="auto"/>
      </w:divBdr>
    </w:div>
    <w:div w:id="482817289">
      <w:bodyDiv w:val="1"/>
      <w:marLeft w:val="0"/>
      <w:marRight w:val="0"/>
      <w:marTop w:val="0"/>
      <w:marBottom w:val="0"/>
      <w:divBdr>
        <w:top w:val="none" w:sz="0" w:space="0" w:color="auto"/>
        <w:left w:val="none" w:sz="0" w:space="0" w:color="auto"/>
        <w:bottom w:val="none" w:sz="0" w:space="0" w:color="auto"/>
        <w:right w:val="none" w:sz="0" w:space="0" w:color="auto"/>
      </w:divBdr>
    </w:div>
    <w:div w:id="498546202">
      <w:bodyDiv w:val="1"/>
      <w:marLeft w:val="0"/>
      <w:marRight w:val="0"/>
      <w:marTop w:val="0"/>
      <w:marBottom w:val="0"/>
      <w:divBdr>
        <w:top w:val="none" w:sz="0" w:space="0" w:color="auto"/>
        <w:left w:val="none" w:sz="0" w:space="0" w:color="auto"/>
        <w:bottom w:val="none" w:sz="0" w:space="0" w:color="auto"/>
        <w:right w:val="none" w:sz="0" w:space="0" w:color="auto"/>
      </w:divBdr>
    </w:div>
    <w:div w:id="519514892">
      <w:bodyDiv w:val="1"/>
      <w:marLeft w:val="0"/>
      <w:marRight w:val="0"/>
      <w:marTop w:val="0"/>
      <w:marBottom w:val="0"/>
      <w:divBdr>
        <w:top w:val="none" w:sz="0" w:space="0" w:color="auto"/>
        <w:left w:val="none" w:sz="0" w:space="0" w:color="auto"/>
        <w:bottom w:val="none" w:sz="0" w:space="0" w:color="auto"/>
        <w:right w:val="none" w:sz="0" w:space="0" w:color="auto"/>
      </w:divBdr>
    </w:div>
    <w:div w:id="1381979477">
      <w:bodyDiv w:val="1"/>
      <w:marLeft w:val="0"/>
      <w:marRight w:val="0"/>
      <w:marTop w:val="0"/>
      <w:marBottom w:val="0"/>
      <w:divBdr>
        <w:top w:val="none" w:sz="0" w:space="0" w:color="auto"/>
        <w:left w:val="none" w:sz="0" w:space="0" w:color="auto"/>
        <w:bottom w:val="none" w:sz="0" w:space="0" w:color="auto"/>
        <w:right w:val="none" w:sz="0" w:space="0" w:color="auto"/>
      </w:divBdr>
      <w:divsChild>
        <w:div w:id="124082811">
          <w:marLeft w:val="0"/>
          <w:marRight w:val="0"/>
          <w:marTop w:val="0"/>
          <w:marBottom w:val="0"/>
          <w:divBdr>
            <w:top w:val="none" w:sz="0" w:space="0" w:color="auto"/>
            <w:left w:val="none" w:sz="0" w:space="0" w:color="auto"/>
            <w:bottom w:val="none" w:sz="0" w:space="0" w:color="auto"/>
            <w:right w:val="none" w:sz="0" w:space="0" w:color="auto"/>
          </w:divBdr>
        </w:div>
      </w:divsChild>
    </w:div>
    <w:div w:id="1427464216">
      <w:bodyDiv w:val="1"/>
      <w:marLeft w:val="0"/>
      <w:marRight w:val="0"/>
      <w:marTop w:val="0"/>
      <w:marBottom w:val="0"/>
      <w:divBdr>
        <w:top w:val="none" w:sz="0" w:space="0" w:color="auto"/>
        <w:left w:val="none" w:sz="0" w:space="0" w:color="auto"/>
        <w:bottom w:val="none" w:sz="0" w:space="0" w:color="auto"/>
        <w:right w:val="none" w:sz="0" w:space="0" w:color="auto"/>
      </w:divBdr>
    </w:div>
    <w:div w:id="1508864141">
      <w:bodyDiv w:val="1"/>
      <w:marLeft w:val="0"/>
      <w:marRight w:val="0"/>
      <w:marTop w:val="0"/>
      <w:marBottom w:val="0"/>
      <w:divBdr>
        <w:top w:val="none" w:sz="0" w:space="0" w:color="auto"/>
        <w:left w:val="none" w:sz="0" w:space="0" w:color="auto"/>
        <w:bottom w:val="none" w:sz="0" w:space="0" w:color="auto"/>
        <w:right w:val="none" w:sz="0" w:space="0" w:color="auto"/>
      </w:divBdr>
    </w:div>
    <w:div w:id="1674140892">
      <w:bodyDiv w:val="1"/>
      <w:marLeft w:val="0"/>
      <w:marRight w:val="0"/>
      <w:marTop w:val="0"/>
      <w:marBottom w:val="0"/>
      <w:divBdr>
        <w:top w:val="none" w:sz="0" w:space="0" w:color="auto"/>
        <w:left w:val="none" w:sz="0" w:space="0" w:color="auto"/>
        <w:bottom w:val="none" w:sz="0" w:space="0" w:color="auto"/>
        <w:right w:val="none" w:sz="0" w:space="0" w:color="auto"/>
      </w:divBdr>
    </w:div>
    <w:div w:id="1805350161">
      <w:bodyDiv w:val="1"/>
      <w:marLeft w:val="0"/>
      <w:marRight w:val="0"/>
      <w:marTop w:val="0"/>
      <w:marBottom w:val="0"/>
      <w:divBdr>
        <w:top w:val="none" w:sz="0" w:space="0" w:color="auto"/>
        <w:left w:val="none" w:sz="0" w:space="0" w:color="auto"/>
        <w:bottom w:val="none" w:sz="0" w:space="0" w:color="auto"/>
        <w:right w:val="none" w:sz="0" w:space="0" w:color="auto"/>
      </w:divBdr>
      <w:divsChild>
        <w:div w:id="623579006">
          <w:marLeft w:val="0"/>
          <w:marRight w:val="0"/>
          <w:marTop w:val="0"/>
          <w:marBottom w:val="0"/>
          <w:divBdr>
            <w:top w:val="none" w:sz="0" w:space="0" w:color="auto"/>
            <w:left w:val="none" w:sz="0" w:space="0" w:color="auto"/>
            <w:bottom w:val="none" w:sz="0" w:space="0" w:color="auto"/>
            <w:right w:val="none" w:sz="0" w:space="0" w:color="auto"/>
          </w:divBdr>
          <w:divsChild>
            <w:div w:id="1401053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1321424">
      <w:bodyDiv w:val="1"/>
      <w:marLeft w:val="0"/>
      <w:marRight w:val="0"/>
      <w:marTop w:val="0"/>
      <w:marBottom w:val="0"/>
      <w:divBdr>
        <w:top w:val="none" w:sz="0" w:space="0" w:color="auto"/>
        <w:left w:val="none" w:sz="0" w:space="0" w:color="auto"/>
        <w:bottom w:val="none" w:sz="0" w:space="0" w:color="auto"/>
        <w:right w:val="none" w:sz="0" w:space="0" w:color="auto"/>
      </w:divBdr>
    </w:div>
    <w:div w:id="2136293919">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cid:image007.jpg@01CFA822.32F6E730"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3.jpeg"/><Relationship Id="rId25"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8.png"/><Relationship Id="rId10" Type="http://schemas.openxmlformats.org/officeDocument/2006/relationships/endnotes" Target="endnotes.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7.png"/><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1" Type="http://schemas.openxmlformats.org/officeDocument/2006/relationships/image" Target="media/image1.png"/></Relationships>
</file>

<file path=word/_rels/footer4.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ekalinowska.ENV\Local%20Settings\Temp\wz17de\final\eBusiness_cover.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D36F0F3FFB8D545B73D0F0D9297910C" ma:contentTypeVersion="0" ma:contentTypeDescription="Create a new document." ma:contentTypeScope="" ma:versionID="1e60b7a610ff5757e4b34b51c7bb66a0">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18A308C-3831-45D8-82BE-FD04895CB608}">
  <ds:schemaRefs>
    <ds:schemaRef ds:uri="http://schemas.microsoft.com/office/2006/metadata/properties"/>
    <ds:schemaRef ds:uri="http://www.w3.org/XML/1998/namespace"/>
    <ds:schemaRef ds:uri="http://purl.org/dc/dcmitype/"/>
    <ds:schemaRef ds:uri="http://schemas.microsoft.com/office/infopath/2007/PartnerControls"/>
    <ds:schemaRef ds:uri="http://schemas.microsoft.com/office/2006/documentManagement/types"/>
    <ds:schemaRef ds:uri="http://purl.org/dc/terms/"/>
    <ds:schemaRef ds:uri="http://purl.org/dc/elements/1.1/"/>
    <ds:schemaRef ds:uri="http://schemas.openxmlformats.org/package/2006/metadata/core-properties"/>
  </ds:schemaRefs>
</ds:datastoreItem>
</file>

<file path=customXml/itemProps2.xml><?xml version="1.0" encoding="utf-8"?>
<ds:datastoreItem xmlns:ds="http://schemas.openxmlformats.org/officeDocument/2006/customXml" ds:itemID="{676ABA57-213A-487A-9F28-9918BD2B804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1EB20F0C-D8A8-4547-9D12-6BB8B957054C}">
  <ds:schemaRefs>
    <ds:schemaRef ds:uri="http://schemas.microsoft.com/sharepoint/v3/contenttype/forms"/>
  </ds:schemaRefs>
</ds:datastoreItem>
</file>

<file path=customXml/itemProps4.xml><?xml version="1.0" encoding="utf-8"?>
<ds:datastoreItem xmlns:ds="http://schemas.openxmlformats.org/officeDocument/2006/customXml" ds:itemID="{1792388B-D377-4FAA-ABAA-447FF3FD96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eBusiness_cover</Template>
  <TotalTime>118</TotalTime>
  <Pages>16</Pages>
  <Words>4371</Words>
  <Characters>25109</Characters>
  <Application>Microsoft Office Word</Application>
  <DocSecurity>0</DocSecurity>
  <Lines>209</Lines>
  <Paragraphs>58</Paragraphs>
  <ScaleCrop>false</ScaleCrop>
  <HeadingPairs>
    <vt:vector size="2" baseType="variant">
      <vt:variant>
        <vt:lpstr>Title</vt:lpstr>
      </vt:variant>
      <vt:variant>
        <vt:i4>1</vt:i4>
      </vt:variant>
    </vt:vector>
  </HeadingPairs>
  <TitlesOfParts>
    <vt:vector size="1" baseType="lpstr">
      <vt:lpstr>CRS Record Management Procedures</vt:lpstr>
    </vt:vector>
  </TitlesOfParts>
  <Manager>Carlien Coultate</Manager>
  <Company>Department for Enviroment, Water and Natural Resources</Company>
  <LinksUpToDate>false</LinksUpToDate>
  <CharactersWithSpaces>29422</CharactersWithSpaces>
  <SharedDoc>false</SharedDoc>
  <HLinks>
    <vt:vector size="108" baseType="variant">
      <vt:variant>
        <vt:i4>1310840</vt:i4>
      </vt:variant>
      <vt:variant>
        <vt:i4>98</vt:i4>
      </vt:variant>
      <vt:variant>
        <vt:i4>0</vt:i4>
      </vt:variant>
      <vt:variant>
        <vt:i4>5</vt:i4>
      </vt:variant>
      <vt:variant>
        <vt:lpwstr>http://collaboration-uat.dfw.sa.gov.au/sites/Teams/WPM/WR/crs/Shared Documents/Technical Working Group/CRS_Integration_ProjectPlan_v001.4.pdf</vt:lpwstr>
      </vt:variant>
      <vt:variant>
        <vt:lpwstr/>
      </vt:variant>
      <vt:variant>
        <vt:i4>7209059</vt:i4>
      </vt:variant>
      <vt:variant>
        <vt:i4>95</vt:i4>
      </vt:variant>
      <vt:variant>
        <vt:i4>0</vt:i4>
      </vt:variant>
      <vt:variant>
        <vt:i4>5</vt:i4>
      </vt:variant>
      <vt:variant>
        <vt:lpwstr>http://qa.ishare.env.sa.gov.au/sites/PMF2/SitePages/Roles and Responsibilities.aspx</vt:lpwstr>
      </vt:variant>
      <vt:variant>
        <vt:lpwstr/>
      </vt:variant>
      <vt:variant>
        <vt:i4>6881400</vt:i4>
      </vt:variant>
      <vt:variant>
        <vt:i4>88</vt:i4>
      </vt:variant>
      <vt:variant>
        <vt:i4>0</vt:i4>
      </vt:variant>
      <vt:variant>
        <vt:i4>5</vt:i4>
      </vt:variant>
      <vt:variant>
        <vt:lpwstr>http://www.environment.sa.gov.au/About_Us/Reports/Corporate_plans</vt:lpwstr>
      </vt:variant>
      <vt:variant>
        <vt:lpwstr/>
      </vt:variant>
      <vt:variant>
        <vt:i4>589827</vt:i4>
      </vt:variant>
      <vt:variant>
        <vt:i4>83</vt:i4>
      </vt:variant>
      <vt:variant>
        <vt:i4>0</vt:i4>
      </vt:variant>
      <vt:variant>
        <vt:i4>5</vt:i4>
      </vt:variant>
      <vt:variant>
        <vt:lpwstr>http://collaboration-uat.dfw.sa.gov.au/sites/Teams/WPM/WR/crs/Shared Documents/Jurisdiction Implementation Map Path 4.jpg</vt:lpwstr>
      </vt:variant>
      <vt:variant>
        <vt:lpwstr/>
      </vt:variant>
      <vt:variant>
        <vt:i4>6750223</vt:i4>
      </vt:variant>
      <vt:variant>
        <vt:i4>80</vt:i4>
      </vt:variant>
      <vt:variant>
        <vt:i4>0</vt:i4>
      </vt:variant>
      <vt:variant>
        <vt:i4>5</vt:i4>
      </vt:variant>
      <vt:variant>
        <vt:lpwstr>../../../../Local Settings/Local Settings/Temporary Internet Files/SitePages/Home.aspx?Paged=TRUE&amp;p_SortBehavior=0&amp;p_Modified=20130726%2000%3a14%3a10&amp;p_ID=167&amp;PageFirstRow=6&amp;&amp;View=%7b261B244B-8AE5-4AD5-BE52-894D9110D9B5%7d</vt:lpwstr>
      </vt:variant>
      <vt:variant>
        <vt:lpwstr/>
      </vt:variant>
      <vt:variant>
        <vt:i4>2621470</vt:i4>
      </vt:variant>
      <vt:variant>
        <vt:i4>77</vt:i4>
      </vt:variant>
      <vt:variant>
        <vt:i4>0</vt:i4>
      </vt:variant>
      <vt:variant>
        <vt:i4>5</vt:i4>
      </vt:variant>
      <vt:variant>
        <vt:lpwstr>http://collaboration-uat.dfw.sa.gov.au/sites/Teams/WPM/WR/Shared Documents/CRS and NFCE Steering Committee Meetings/28th June 2013 Meeting/FINAL CRS BUSINESS CASE_V7 MAY 2013.docx</vt:lpwstr>
      </vt:variant>
      <vt:variant>
        <vt:lpwstr/>
      </vt:variant>
      <vt:variant>
        <vt:i4>3276892</vt:i4>
      </vt:variant>
      <vt:variant>
        <vt:i4>74</vt:i4>
      </vt:variant>
      <vt:variant>
        <vt:i4>0</vt:i4>
      </vt:variant>
      <vt:variant>
        <vt:i4>65541</vt:i4>
      </vt:variant>
      <vt:variant>
        <vt:lpwstr>http://collaboration-uat.dfw.sa.gov.au/sites/Teams/WPM/WR/crs/Shared Documents/SA_DEWNR_CRS_S2PP1_0_Project Plan_v00_10.docx</vt:lpwstr>
      </vt:variant>
      <vt:variant>
        <vt:lpwstr/>
      </vt:variant>
      <vt:variant>
        <vt:i4>589827</vt:i4>
      </vt:variant>
      <vt:variant>
        <vt:i4>69</vt:i4>
      </vt:variant>
      <vt:variant>
        <vt:i4>0</vt:i4>
      </vt:variant>
      <vt:variant>
        <vt:i4>5</vt:i4>
      </vt:variant>
      <vt:variant>
        <vt:lpwstr>http://collaboration-uat.dfw.sa.gov.au/sites/Teams/WPM/WR/crs/Shared Documents/Jurisdiction Implementation Map Path 4.jpg</vt:lpwstr>
      </vt:variant>
      <vt:variant>
        <vt:lpwstr/>
      </vt:variant>
      <vt:variant>
        <vt:i4>1507386</vt:i4>
      </vt:variant>
      <vt:variant>
        <vt:i4>62</vt:i4>
      </vt:variant>
      <vt:variant>
        <vt:i4>0</vt:i4>
      </vt:variant>
      <vt:variant>
        <vt:i4>5</vt:i4>
      </vt:variant>
      <vt:variant>
        <vt:lpwstr/>
      </vt:variant>
      <vt:variant>
        <vt:lpwstr>_Toc365041878</vt:lpwstr>
      </vt:variant>
      <vt:variant>
        <vt:i4>1507386</vt:i4>
      </vt:variant>
      <vt:variant>
        <vt:i4>56</vt:i4>
      </vt:variant>
      <vt:variant>
        <vt:i4>0</vt:i4>
      </vt:variant>
      <vt:variant>
        <vt:i4>5</vt:i4>
      </vt:variant>
      <vt:variant>
        <vt:lpwstr/>
      </vt:variant>
      <vt:variant>
        <vt:lpwstr>_Toc365041877</vt:lpwstr>
      </vt:variant>
      <vt:variant>
        <vt:i4>1507386</vt:i4>
      </vt:variant>
      <vt:variant>
        <vt:i4>50</vt:i4>
      </vt:variant>
      <vt:variant>
        <vt:i4>0</vt:i4>
      </vt:variant>
      <vt:variant>
        <vt:i4>5</vt:i4>
      </vt:variant>
      <vt:variant>
        <vt:lpwstr/>
      </vt:variant>
      <vt:variant>
        <vt:lpwstr>_Toc365041876</vt:lpwstr>
      </vt:variant>
      <vt:variant>
        <vt:i4>1507386</vt:i4>
      </vt:variant>
      <vt:variant>
        <vt:i4>44</vt:i4>
      </vt:variant>
      <vt:variant>
        <vt:i4>0</vt:i4>
      </vt:variant>
      <vt:variant>
        <vt:i4>5</vt:i4>
      </vt:variant>
      <vt:variant>
        <vt:lpwstr/>
      </vt:variant>
      <vt:variant>
        <vt:lpwstr>_Toc365041875</vt:lpwstr>
      </vt:variant>
      <vt:variant>
        <vt:i4>1507386</vt:i4>
      </vt:variant>
      <vt:variant>
        <vt:i4>38</vt:i4>
      </vt:variant>
      <vt:variant>
        <vt:i4>0</vt:i4>
      </vt:variant>
      <vt:variant>
        <vt:i4>5</vt:i4>
      </vt:variant>
      <vt:variant>
        <vt:lpwstr/>
      </vt:variant>
      <vt:variant>
        <vt:lpwstr>_Toc365041874</vt:lpwstr>
      </vt:variant>
      <vt:variant>
        <vt:i4>1507386</vt:i4>
      </vt:variant>
      <vt:variant>
        <vt:i4>32</vt:i4>
      </vt:variant>
      <vt:variant>
        <vt:i4>0</vt:i4>
      </vt:variant>
      <vt:variant>
        <vt:i4>5</vt:i4>
      </vt:variant>
      <vt:variant>
        <vt:lpwstr/>
      </vt:variant>
      <vt:variant>
        <vt:lpwstr>_Toc365041873</vt:lpwstr>
      </vt:variant>
      <vt:variant>
        <vt:i4>1507386</vt:i4>
      </vt:variant>
      <vt:variant>
        <vt:i4>26</vt:i4>
      </vt:variant>
      <vt:variant>
        <vt:i4>0</vt:i4>
      </vt:variant>
      <vt:variant>
        <vt:i4>5</vt:i4>
      </vt:variant>
      <vt:variant>
        <vt:lpwstr/>
      </vt:variant>
      <vt:variant>
        <vt:lpwstr>_Toc365041872</vt:lpwstr>
      </vt:variant>
      <vt:variant>
        <vt:i4>1507386</vt:i4>
      </vt:variant>
      <vt:variant>
        <vt:i4>20</vt:i4>
      </vt:variant>
      <vt:variant>
        <vt:i4>0</vt:i4>
      </vt:variant>
      <vt:variant>
        <vt:i4>5</vt:i4>
      </vt:variant>
      <vt:variant>
        <vt:lpwstr/>
      </vt:variant>
      <vt:variant>
        <vt:lpwstr>_Toc365041871</vt:lpwstr>
      </vt:variant>
      <vt:variant>
        <vt:i4>1507386</vt:i4>
      </vt:variant>
      <vt:variant>
        <vt:i4>14</vt:i4>
      </vt:variant>
      <vt:variant>
        <vt:i4>0</vt:i4>
      </vt:variant>
      <vt:variant>
        <vt:i4>5</vt:i4>
      </vt:variant>
      <vt:variant>
        <vt:lpwstr/>
      </vt:variant>
      <vt:variant>
        <vt:lpwstr>_Toc365041870</vt:lpwstr>
      </vt:variant>
      <vt:variant>
        <vt:i4>1441850</vt:i4>
      </vt:variant>
      <vt:variant>
        <vt:i4>8</vt:i4>
      </vt:variant>
      <vt:variant>
        <vt:i4>0</vt:i4>
      </vt:variant>
      <vt:variant>
        <vt:i4>5</vt:i4>
      </vt:variant>
      <vt:variant>
        <vt:lpwstr/>
      </vt:variant>
      <vt:variant>
        <vt:lpwstr>_Toc365041869</vt:lpwstr>
      </vt:variant>
    </vt:vector>
  </HLinks>
  <HyperlinksChanged>true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CRS Record Management Procedures</dc:title>
  <dc:subject>CRS Project Stream 2 Path 4 (Jurisdictional Technical Integration) - Project Management Plan</dc:subject>
  <dc:creator>Gavin Morey, Jan-Marie Davies</dc:creator>
  <cp:lastModifiedBy>Andy Harrison</cp:lastModifiedBy>
  <cp:revision>9</cp:revision>
  <cp:lastPrinted>2014-07-25T07:16:00Z</cp:lastPrinted>
  <dcterms:created xsi:type="dcterms:W3CDTF">2014-07-25T06:17:00Z</dcterms:created>
  <dcterms:modified xsi:type="dcterms:W3CDTF">2014-07-25T09:19:00Z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ument Category">
    <vt:lpwstr>1</vt:lpwstr>
  </property>
  <property fmtid="{D5CDD505-2E9C-101B-9397-08002B2CF9AE}" pid="3" name="Status">
    <vt:lpwstr>Draft</vt:lpwstr>
  </property>
  <property fmtid="{D5CDD505-2E9C-101B-9397-08002B2CF9AE}" pid="4" name="ContentType">
    <vt:lpwstr>Document</vt:lpwstr>
  </property>
  <property fmtid="{D5CDD505-2E9C-101B-9397-08002B2CF9AE}" pid="5" name="TemplateUrl">
    <vt:lpwstr/>
  </property>
  <property fmtid="{D5CDD505-2E9C-101B-9397-08002B2CF9AE}" pid="6" name="xd_ProgID">
    <vt:lpwstr/>
  </property>
  <property fmtid="{D5CDD505-2E9C-101B-9397-08002B2CF9AE}" pid="7" name="_CopySource">
    <vt:lpwstr>http://projects.ishare.env.sa.gov.au/sites/clientservicespmo/PMOTemplatesdevelopment/ProjectDocuments/Project Management Plan.doc</vt:lpwstr>
  </property>
  <property fmtid="{D5CDD505-2E9C-101B-9397-08002B2CF9AE}" pid="8" name="Order">
    <vt:lpwstr>4900.00000000000</vt:lpwstr>
  </property>
  <property fmtid="{D5CDD505-2E9C-101B-9397-08002B2CF9AE}" pid="9" name="Stage">
    <vt:lpwstr>3. Planning</vt:lpwstr>
  </property>
  <property fmtid="{D5CDD505-2E9C-101B-9397-08002B2CF9AE}" pid="10" name="Steps">
    <vt:lpwstr>3.1 Complete Project Documentation</vt:lpwstr>
  </property>
  <property fmtid="{D5CDD505-2E9C-101B-9397-08002B2CF9AE}" pid="11" name="Template Type">
    <vt:lpwstr>Mandatory</vt:lpwstr>
  </property>
  <property fmtid="{D5CDD505-2E9C-101B-9397-08002B2CF9AE}" pid="12" name="_dlc_DocId">
    <vt:lpwstr>D0000059704</vt:lpwstr>
  </property>
  <property fmtid="{D5CDD505-2E9C-101B-9397-08002B2CF9AE}" pid="13" name="_dlc_DocIdItemGuid">
    <vt:lpwstr>2bfdcefa-702d-43f5-aea0-a9b70b3f3531</vt:lpwstr>
  </property>
  <property fmtid="{D5CDD505-2E9C-101B-9397-08002B2CF9AE}" pid="14" name="_dlc_DocIdUrl">
    <vt:lpwstr>http://projects.ishare.env.sa.gov.au/sites/PortfolioManagement/_layouts/DocIdRedir.aspx?ID=D0000059704, D0000059704</vt:lpwstr>
  </property>
  <property fmtid="{D5CDD505-2E9C-101B-9397-08002B2CF9AE}" pid="15" name="PMF Stream1">
    <vt:lpwstr>15;#ICT|01a3f898-20ca-458a-89de-003397811c6b</vt:lpwstr>
  </property>
  <property fmtid="{D5CDD505-2E9C-101B-9397-08002B2CF9AE}" pid="16" name="Template Description">
    <vt:lpwstr>PMP</vt:lpwstr>
  </property>
  <property fmtid="{D5CDD505-2E9C-101B-9397-08002B2CF9AE}" pid="17" name="PMF Phase">
    <vt:lpwstr>Planning</vt:lpwstr>
  </property>
  <property fmtid="{D5CDD505-2E9C-101B-9397-08002B2CF9AE}" pid="18" name="_Version">
    <vt:lpwstr/>
  </property>
  <property fmtid="{D5CDD505-2E9C-101B-9397-08002B2CF9AE}" pid="19" name="ab27ea6ff0c9468c84a374cb080207b2">
    <vt:lpwstr>ICT|01a3f898-20ca-458a-89de-003397811c6b</vt:lpwstr>
  </property>
  <property fmtid="{D5CDD505-2E9C-101B-9397-08002B2CF9AE}" pid="20" name="TaxCatchAll">
    <vt:lpwstr>15;#</vt:lpwstr>
  </property>
  <property fmtid="{D5CDD505-2E9C-101B-9397-08002B2CF9AE}" pid="21" name="Project">
    <vt:lpwstr>CRS Stream 2 Path 4 – Jurisdictional Technical Integration</vt:lpwstr>
  </property>
  <property fmtid="{D5CDD505-2E9C-101B-9397-08002B2CF9AE}" pid="22" name="Version">
    <vt:r8>0.2</vt:r8>
  </property>
  <property fmtid="{D5CDD505-2E9C-101B-9397-08002B2CF9AE}" pid="23" name="ContentTypeId">
    <vt:lpwstr>0x0101008D36F0F3FFB8D545B73D0F0D9297910C</vt:lpwstr>
  </property>
</Properties>
</file>