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9B" w:rsidRDefault="00811185" w:rsidP="00811185">
      <w:pPr>
        <w:pStyle w:val="Heading1"/>
      </w:pPr>
      <w:bookmarkStart w:id="0" w:name="_GoBack"/>
      <w:bookmarkEnd w:id="0"/>
      <w:r>
        <w:t xml:space="preserve">Guide to </w:t>
      </w:r>
      <w:r w:rsidR="00B37F00">
        <w:t>industry breakdown of new PPSR registrations</w:t>
      </w:r>
    </w:p>
    <w:p w:rsidR="00B37F00" w:rsidRDefault="00B37F00" w:rsidP="00B37F00">
      <w:pPr>
        <w:pStyle w:val="Heading2"/>
      </w:pPr>
      <w:r>
        <w:t>Introduction</w:t>
      </w:r>
    </w:p>
    <w:p w:rsidR="006635D9" w:rsidRDefault="00B37F00" w:rsidP="006635D9">
      <w:r>
        <w:t>The personal property securities register (PPSR) is a national online register of security interests in personal property in Australia.</w:t>
      </w:r>
      <w:r w:rsidR="006635D9">
        <w:t xml:space="preserve"> </w:t>
      </w:r>
      <w:r w:rsidR="006635D9">
        <w:t xml:space="preserve">The PPSR commenced operations on 30 January 2012. Use of the PPSR is voluntary. </w:t>
      </w:r>
    </w:p>
    <w:p w:rsidR="00B37F00" w:rsidRDefault="00B37F00" w:rsidP="00B37F00">
      <w:r>
        <w:t xml:space="preserve">Personal property is generally all forms of property other than land, buildings and fixtures. </w:t>
      </w:r>
      <w:r w:rsidR="006635D9">
        <w:t xml:space="preserve">An individual or a business can own personal property. A business or individual can use their personal property as collateral (security for a debt owed to sellers or financiers). Collateral can include goods leased or hired out, sold on retention of title terms, or sold on consignment. </w:t>
      </w:r>
    </w:p>
    <w:p w:rsidR="006635D9" w:rsidRDefault="006635D9" w:rsidP="00B37F00">
      <w:r>
        <w:t xml:space="preserve">In such cases, the seller, owner, lessor, lender, consignor or financier (called the secured party) has a claim over the collateral (called a security interest). The secured party should register their security interest to ensure their interest is protected. </w:t>
      </w:r>
    </w:p>
    <w:p w:rsidR="000533EC" w:rsidRDefault="000533EC" w:rsidP="00B37F00">
      <w:r>
        <w:t xml:space="preserve">This information shows new registrations created by secured parties. A secured party is an individual or organisation who has a security interest in personal property.  </w:t>
      </w:r>
    </w:p>
    <w:p w:rsidR="00222E22" w:rsidRDefault="00222E22" w:rsidP="00222E22">
      <w:pPr>
        <w:pStyle w:val="Heading2"/>
      </w:pPr>
      <w:r>
        <w:t>Secured parties and secured party groups</w:t>
      </w:r>
    </w:p>
    <w:p w:rsidR="00222E22" w:rsidRDefault="00222E22" w:rsidP="00222E22">
      <w:r>
        <w:t xml:space="preserve">A secured party is the individual or group who holds a security interest in personal property. </w:t>
      </w:r>
    </w:p>
    <w:p w:rsidR="00222E22" w:rsidRDefault="00222E22" w:rsidP="00222E22">
      <w:r>
        <w:t xml:space="preserve">A secured party group (SPG) is a group of individual or organisation secured parties. Every PPSR registration has a SPG, even if there is only one secured party in this group. This information shows the number of secured parties on PPSR registrations. Because there can be multiple secured parties in a SPG, you cannot derive the number of PPSR registrations from this data. </w:t>
      </w:r>
    </w:p>
    <w:p w:rsidR="00B37F00" w:rsidRDefault="00B37F00" w:rsidP="00B37F00">
      <w:pPr>
        <w:pStyle w:val="Heading2"/>
      </w:pPr>
      <w:r>
        <w:t>Scope and coverage</w:t>
      </w:r>
    </w:p>
    <w:p w:rsidR="000533EC" w:rsidRDefault="000533EC" w:rsidP="000533EC">
      <w:r>
        <w:t>This data</w:t>
      </w:r>
      <w:r w:rsidR="00B37F00">
        <w:t xml:space="preserve"> </w:t>
      </w:r>
      <w:r>
        <w:t xml:space="preserve">shows the number of new registrations on the PPSR by industry division and subdivision. We sourced the Industry information from the Australian Business Register (ABR). To do this, we used the Australian Company Number (ACN) to match records. </w:t>
      </w:r>
      <w:r w:rsidR="001377CF">
        <w:t>To protect privacy, we have assigned each ACN a random number instead of showing the actual ACN.</w:t>
      </w:r>
    </w:p>
    <w:p w:rsidR="001241A2" w:rsidRDefault="001241A2" w:rsidP="001241A2">
      <w:r>
        <w:t xml:space="preserve">This data is a subset of overall PPSR registrations created. It solely includes </w:t>
      </w:r>
      <w:r w:rsidR="000533EC">
        <w:t xml:space="preserve">registrations </w:t>
      </w:r>
      <w:r>
        <w:t xml:space="preserve">created </w:t>
      </w:r>
      <w:r w:rsidR="000533EC">
        <w:t xml:space="preserve">by organisational </w:t>
      </w:r>
      <w:r>
        <w:t xml:space="preserve">secured parties that have registered on the PPSR with an ACN. </w:t>
      </w:r>
    </w:p>
    <w:p w:rsidR="001241A2" w:rsidRDefault="001241A2" w:rsidP="001241A2">
      <w:r>
        <w:t>We have excluded the following records:</w:t>
      </w:r>
    </w:p>
    <w:p w:rsidR="001241A2" w:rsidRDefault="001241A2" w:rsidP="001241A2">
      <w:pPr>
        <w:pStyle w:val="ListParagraph"/>
        <w:numPr>
          <w:ilvl w:val="0"/>
          <w:numId w:val="5"/>
        </w:numPr>
      </w:pPr>
      <w:r>
        <w:t xml:space="preserve">a small portion of organisational ACNs are invalid when recorded </w:t>
      </w:r>
      <w:r w:rsidR="00773BAD">
        <w:t>on the PPSR, so these records do not match the ABR</w:t>
      </w:r>
    </w:p>
    <w:p w:rsidR="001241A2" w:rsidRDefault="001241A2" w:rsidP="001241A2">
      <w:pPr>
        <w:pStyle w:val="ListParagraph"/>
        <w:numPr>
          <w:ilvl w:val="0"/>
          <w:numId w:val="5"/>
        </w:numPr>
      </w:pPr>
      <w:r>
        <w:t>the ABR register only includes ACNs that also have an ABN. As a result, around 2% of the ACN registrations on the PPSR are not included in thi</w:t>
      </w:r>
      <w:r w:rsidR="00892E14">
        <w:t>s data</w:t>
      </w:r>
    </w:p>
    <w:p w:rsidR="007B6061" w:rsidRDefault="00892E14" w:rsidP="001241A2">
      <w:pPr>
        <w:pStyle w:val="ListParagraph"/>
        <w:numPr>
          <w:ilvl w:val="0"/>
          <w:numId w:val="5"/>
        </w:numPr>
      </w:pPr>
      <w:r>
        <w:t>registrations that were migrated from pre-existing records before 30 January 2012</w:t>
      </w:r>
    </w:p>
    <w:p w:rsidR="00892E14" w:rsidRDefault="007B6061" w:rsidP="001241A2">
      <w:pPr>
        <w:pStyle w:val="ListParagraph"/>
        <w:numPr>
          <w:ilvl w:val="0"/>
          <w:numId w:val="5"/>
        </w:numPr>
      </w:pPr>
      <w:r>
        <w:t>records where there were only one or two secured parties with new registrations in the industry subdivision in the reporting period</w:t>
      </w:r>
      <w:r w:rsidR="00892E14">
        <w:t>.</w:t>
      </w:r>
    </w:p>
    <w:p w:rsidR="001241A2" w:rsidRDefault="001241A2" w:rsidP="001241A2">
      <w:r>
        <w:t xml:space="preserve">There are a small number </w:t>
      </w:r>
      <w:r w:rsidR="005269D6">
        <w:t>of ACNs that appear</w:t>
      </w:r>
      <w:r>
        <w:t xml:space="preserve"> in multiple industry categories. W</w:t>
      </w:r>
      <w:r w:rsidR="005269D6">
        <w:t xml:space="preserve">here this has occurred, we have presented each of the individual industries. </w:t>
      </w:r>
      <w:r>
        <w:t>Thi</w:t>
      </w:r>
      <w:r w:rsidR="005269D6">
        <w:t>s affects less than 100 records</w:t>
      </w:r>
      <w:r>
        <w:t>.</w:t>
      </w:r>
    </w:p>
    <w:p w:rsidR="00B37F00" w:rsidRDefault="005269D6" w:rsidP="005269D6">
      <w:r>
        <w:t>This information also shows the date of effect of the ABN of companies. We obtained this from the ABR. The earliest date of effect is 1 November 1999.</w:t>
      </w:r>
    </w:p>
    <w:p w:rsidR="005269D6" w:rsidRDefault="005269D6" w:rsidP="005269D6">
      <w:pPr>
        <w:pStyle w:val="Heading2"/>
      </w:pPr>
      <w:r>
        <w:lastRenderedPageBreak/>
        <w:t>Comparison to other PPSR data</w:t>
      </w:r>
    </w:p>
    <w:p w:rsidR="000533EC" w:rsidRPr="00B37F00" w:rsidRDefault="00773BAD" w:rsidP="000533EC">
      <w:r>
        <w:t>Because it shows the number of secured parties, this data does not match our other published data. We report on the number of registrations in our other statistics.</w:t>
      </w:r>
    </w:p>
    <w:sectPr w:rsidR="000533EC" w:rsidRPr="00B37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2B31"/>
    <w:multiLevelType w:val="hybridMultilevel"/>
    <w:tmpl w:val="6CF8B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050AB3"/>
    <w:multiLevelType w:val="hybridMultilevel"/>
    <w:tmpl w:val="338AB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EE42DD"/>
    <w:multiLevelType w:val="hybridMultilevel"/>
    <w:tmpl w:val="764CDA56"/>
    <w:lvl w:ilvl="0" w:tplc="C536600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D266D7B"/>
    <w:multiLevelType w:val="hybridMultilevel"/>
    <w:tmpl w:val="CDF838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85"/>
    <w:rsid w:val="000533EC"/>
    <w:rsid w:val="001241A2"/>
    <w:rsid w:val="001377CF"/>
    <w:rsid w:val="00222E22"/>
    <w:rsid w:val="0027158F"/>
    <w:rsid w:val="00347694"/>
    <w:rsid w:val="005269D6"/>
    <w:rsid w:val="006635D9"/>
    <w:rsid w:val="00667695"/>
    <w:rsid w:val="006C47AA"/>
    <w:rsid w:val="00773BAD"/>
    <w:rsid w:val="007B6061"/>
    <w:rsid w:val="00811185"/>
    <w:rsid w:val="00892E14"/>
    <w:rsid w:val="00B37F00"/>
    <w:rsid w:val="00EB3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D0494-9523-47C7-844C-A435928F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1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7F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7F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185"/>
    <w:pPr>
      <w:spacing w:after="0" w:line="240" w:lineRule="auto"/>
    </w:pPr>
  </w:style>
  <w:style w:type="character" w:customStyle="1" w:styleId="Heading1Char">
    <w:name w:val="Heading 1 Char"/>
    <w:basedOn w:val="DefaultParagraphFont"/>
    <w:link w:val="Heading1"/>
    <w:uiPriority w:val="9"/>
    <w:rsid w:val="008111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7F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37F0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533EC"/>
    <w:pPr>
      <w:ind w:left="720"/>
      <w:contextualSpacing/>
    </w:pPr>
  </w:style>
  <w:style w:type="character" w:styleId="Hyperlink">
    <w:name w:val="Hyperlink"/>
    <w:basedOn w:val="DefaultParagraphFont"/>
    <w:uiPriority w:val="99"/>
    <w:semiHidden/>
    <w:unhideWhenUsed/>
    <w:rsid w:val="000533EC"/>
    <w:rPr>
      <w:color w:val="0000FF"/>
      <w:u w:val="single"/>
    </w:rPr>
  </w:style>
  <w:style w:type="paragraph" w:styleId="BalloonText">
    <w:name w:val="Balloon Text"/>
    <w:basedOn w:val="Normal"/>
    <w:link w:val="BalloonTextChar"/>
    <w:uiPriority w:val="99"/>
    <w:semiHidden/>
    <w:unhideWhenUsed/>
    <w:rsid w:val="0089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14"/>
    <w:rPr>
      <w:rFonts w:ascii="Segoe UI" w:hAnsi="Segoe UI" w:cs="Segoe UI"/>
      <w:sz w:val="18"/>
      <w:szCs w:val="18"/>
    </w:rPr>
  </w:style>
  <w:style w:type="paragraph" w:styleId="NormalWeb">
    <w:name w:val="Normal (Web)"/>
    <w:basedOn w:val="Normal"/>
    <w:uiPriority w:val="99"/>
    <w:semiHidden/>
    <w:unhideWhenUsed/>
    <w:rsid w:val="006635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63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4241">
      <w:bodyDiv w:val="1"/>
      <w:marLeft w:val="0"/>
      <w:marRight w:val="0"/>
      <w:marTop w:val="0"/>
      <w:marBottom w:val="0"/>
      <w:divBdr>
        <w:top w:val="none" w:sz="0" w:space="0" w:color="auto"/>
        <w:left w:val="none" w:sz="0" w:space="0" w:color="auto"/>
        <w:bottom w:val="none" w:sz="0" w:space="0" w:color="auto"/>
        <w:right w:val="none" w:sz="0" w:space="0" w:color="auto"/>
      </w:divBdr>
    </w:div>
    <w:div w:id="564030385">
      <w:bodyDiv w:val="1"/>
      <w:marLeft w:val="0"/>
      <w:marRight w:val="0"/>
      <w:marTop w:val="0"/>
      <w:marBottom w:val="0"/>
      <w:divBdr>
        <w:top w:val="none" w:sz="0" w:space="0" w:color="auto"/>
        <w:left w:val="none" w:sz="0" w:space="0" w:color="auto"/>
        <w:bottom w:val="none" w:sz="0" w:space="0" w:color="auto"/>
        <w:right w:val="none" w:sz="0" w:space="0" w:color="auto"/>
      </w:divBdr>
    </w:div>
    <w:div w:id="15830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Financial Security Authority</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River</dc:creator>
  <cp:keywords/>
  <dc:description/>
  <cp:lastModifiedBy>Paul, River</cp:lastModifiedBy>
  <cp:revision>8</cp:revision>
  <dcterms:created xsi:type="dcterms:W3CDTF">2016-06-24T04:12:00Z</dcterms:created>
  <dcterms:modified xsi:type="dcterms:W3CDTF">2016-06-29T22:47:00Z</dcterms:modified>
</cp:coreProperties>
</file>